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5EEE7" w14:textId="473E9A3A" w:rsidR="000F698D" w:rsidRDefault="000F698D" w:rsidP="00E01867">
      <w:pPr>
        <w:contextualSpacing/>
        <w:jc w:val="both"/>
        <w:outlineLvl w:val="0"/>
        <w:rPr>
          <w:b/>
          <w:bCs/>
          <w:color w:val="C00000"/>
          <w:sz w:val="28"/>
          <w:szCs w:val="32"/>
        </w:rPr>
      </w:pPr>
      <w:r w:rsidRPr="000F698D">
        <w:rPr>
          <w:noProof/>
          <w:sz w:val="20"/>
        </w:rPr>
        <mc:AlternateContent>
          <mc:Choice Requires="wps">
            <w:drawing>
              <wp:inline distT="0" distB="0" distL="0" distR="0" wp14:anchorId="47AF90B1" wp14:editId="54146E77">
                <wp:extent cx="5808268" cy="1302589"/>
                <wp:effectExtent l="0" t="0" r="21590" b="12065"/>
                <wp:docPr id="5" name="Rectangle 5"/>
                <wp:cNvGraphicFramePr/>
                <a:graphic xmlns:a="http://schemas.openxmlformats.org/drawingml/2006/main">
                  <a:graphicData uri="http://schemas.microsoft.com/office/word/2010/wordprocessingShape">
                    <wps:wsp>
                      <wps:cNvSpPr/>
                      <wps:spPr>
                        <a:xfrm>
                          <a:off x="0" y="0"/>
                          <a:ext cx="5808268" cy="1302589"/>
                        </a:xfrm>
                        <a:prstGeom prst="rect">
                          <a:avLst/>
                        </a:prstGeom>
                        <a:solidFill>
                          <a:srgbClr val="C00000"/>
                        </a:solidFill>
                        <a:ln w="12700" cap="flat" cmpd="sng" algn="ctr">
                          <a:solidFill>
                            <a:srgbClr val="C00000"/>
                          </a:solidFill>
                          <a:prstDash val="solid"/>
                          <a:miter lim="800000"/>
                        </a:ln>
                        <a:effectLst/>
                      </wps:spPr>
                      <wps:txbx>
                        <w:txbxContent>
                          <w:p w14:paraId="1E30FA2E" w14:textId="1B317B79" w:rsidR="000F698D" w:rsidRPr="000F698D" w:rsidRDefault="000F698D" w:rsidP="000F698D">
                            <w:pPr>
                              <w:contextualSpacing/>
                              <w:jc w:val="center"/>
                              <w:outlineLvl w:val="0"/>
                              <w:rPr>
                                <w:b/>
                                <w:bCs/>
                                <w:color w:val="FFFFFF" w:themeColor="background1"/>
                                <w:sz w:val="32"/>
                                <w:szCs w:val="36"/>
                              </w:rPr>
                            </w:pPr>
                            <w:r w:rsidRPr="000F698D">
                              <w:rPr>
                                <w:b/>
                                <w:bCs/>
                                <w:color w:val="FFFFFF" w:themeColor="background1"/>
                                <w:sz w:val="32"/>
                                <w:szCs w:val="36"/>
                              </w:rPr>
                              <w:t>ESMS</w:t>
                            </w:r>
                          </w:p>
                          <w:p w14:paraId="545A9CEF" w14:textId="77777777" w:rsidR="000F698D" w:rsidRPr="000F698D" w:rsidRDefault="000F698D" w:rsidP="000F698D">
                            <w:pPr>
                              <w:contextualSpacing/>
                              <w:jc w:val="center"/>
                              <w:outlineLvl w:val="0"/>
                              <w:rPr>
                                <w:b/>
                                <w:bCs/>
                                <w:color w:val="FFFFFF" w:themeColor="background1"/>
                                <w:sz w:val="18"/>
                                <w:szCs w:val="20"/>
                              </w:rPr>
                            </w:pPr>
                          </w:p>
                          <w:p w14:paraId="0A2BF166" w14:textId="67860317" w:rsidR="000F698D" w:rsidRDefault="000F698D" w:rsidP="000F698D">
                            <w:pPr>
                              <w:contextualSpacing/>
                              <w:jc w:val="center"/>
                              <w:outlineLvl w:val="0"/>
                              <w:rPr>
                                <w:b/>
                                <w:bCs/>
                                <w:color w:val="FFFFFF" w:themeColor="background1"/>
                                <w:sz w:val="32"/>
                                <w:szCs w:val="36"/>
                              </w:rPr>
                            </w:pPr>
                            <w:r w:rsidRPr="000F698D">
                              <w:rPr>
                                <w:b/>
                                <w:bCs/>
                                <w:color w:val="FFFFFF" w:themeColor="background1"/>
                                <w:sz w:val="32"/>
                                <w:szCs w:val="36"/>
                              </w:rPr>
                              <w:t>KIT DE DEPLOIEMENT DE L’IDENTITOVIGILANCE</w:t>
                            </w:r>
                          </w:p>
                          <w:p w14:paraId="2E81EFB1" w14:textId="77777777" w:rsidR="009606D9" w:rsidRDefault="009606D9" w:rsidP="000F698D">
                            <w:pPr>
                              <w:contextualSpacing/>
                              <w:jc w:val="center"/>
                              <w:outlineLvl w:val="0"/>
                              <w:rPr>
                                <w:b/>
                                <w:bCs/>
                                <w:color w:val="FFFFFF" w:themeColor="background1"/>
                                <w:sz w:val="32"/>
                                <w:szCs w:val="36"/>
                              </w:rPr>
                            </w:pPr>
                          </w:p>
                          <w:p w14:paraId="58AF3BE1" w14:textId="08426262" w:rsidR="009606D9" w:rsidRPr="000F698D" w:rsidRDefault="009606D9" w:rsidP="000F698D">
                            <w:pPr>
                              <w:contextualSpacing/>
                              <w:jc w:val="center"/>
                              <w:outlineLvl w:val="0"/>
                              <w:rPr>
                                <w:b/>
                                <w:bCs/>
                                <w:color w:val="FFFFFF" w:themeColor="background1"/>
                                <w:sz w:val="32"/>
                                <w:szCs w:val="36"/>
                              </w:rPr>
                            </w:pPr>
                            <w:r>
                              <w:rPr>
                                <w:b/>
                                <w:bCs/>
                                <w:color w:val="FFFFFF" w:themeColor="background1"/>
                                <w:sz w:val="32"/>
                                <w:szCs w:val="36"/>
                              </w:rPr>
                              <w:t>COMP</w:t>
                            </w:r>
                            <w:r w:rsidR="008F10E6">
                              <w:rPr>
                                <w:b/>
                                <w:bCs/>
                                <w:color w:val="FFFFFF" w:themeColor="background1"/>
                                <w:sz w:val="32"/>
                                <w:szCs w:val="36"/>
                              </w:rPr>
                              <w:t>R</w:t>
                            </w:r>
                            <w:r>
                              <w:rPr>
                                <w:b/>
                                <w:bCs/>
                                <w:color w:val="FFFFFF" w:themeColor="background1"/>
                                <w:sz w:val="32"/>
                                <w:szCs w:val="36"/>
                              </w:rPr>
                              <w:t>ENDRE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7AF90B1" id="Rectangle 5" o:spid="_x0000_s1026" style="width:457.35pt;height:10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" fillcolor="#c00000" strokecolor="#c00000" strokeweight="1pt">
                <v:textbox>
                  <w:txbxContent>
                    <w:p w14:paraId="1E30FA2E" w14:textId="1B317B79" w:rsidR="000F698D" w:rsidRPr="000F698D" w:rsidRDefault="000F698D" w:rsidP="000F698D">
                      <w:pPr>
                        <w:contextualSpacing/>
                        <w:jc w:val="center"/>
                        <w:outlineLvl w:val="0"/>
                        <w:rPr>
                          <w:b/>
                          <w:bCs/>
                          <w:color w:val="FFFFFF" w:themeColor="background1"/>
                          <w:sz w:val="32"/>
                          <w:szCs w:val="36"/>
                        </w:rPr>
                      </w:pPr>
                      <w:r w:rsidRPr="000F698D">
                        <w:rPr>
                          <w:b/>
                          <w:bCs/>
                          <w:color w:val="FFFFFF" w:themeColor="background1"/>
                          <w:sz w:val="32"/>
                          <w:szCs w:val="36"/>
                        </w:rPr>
                        <w:t>ESMS</w:t>
                      </w:r>
                    </w:p>
                    <w:p w14:paraId="545A9CEF" w14:textId="77777777" w:rsidR="000F698D" w:rsidRPr="000F698D" w:rsidRDefault="000F698D" w:rsidP="000F698D">
                      <w:pPr>
                        <w:contextualSpacing/>
                        <w:jc w:val="center"/>
                        <w:outlineLvl w:val="0"/>
                        <w:rPr>
                          <w:b/>
                          <w:bCs/>
                          <w:color w:val="FFFFFF" w:themeColor="background1"/>
                          <w:sz w:val="18"/>
                          <w:szCs w:val="20"/>
                        </w:rPr>
                      </w:pPr>
                    </w:p>
                    <w:p w14:paraId="0A2BF166" w14:textId="67860317" w:rsidR="000F698D" w:rsidRDefault="000F698D" w:rsidP="000F698D">
                      <w:pPr>
                        <w:contextualSpacing/>
                        <w:jc w:val="center"/>
                        <w:outlineLvl w:val="0"/>
                        <w:rPr>
                          <w:b/>
                          <w:bCs/>
                          <w:color w:val="FFFFFF" w:themeColor="background1"/>
                          <w:sz w:val="32"/>
                          <w:szCs w:val="36"/>
                        </w:rPr>
                      </w:pPr>
                      <w:r w:rsidRPr="000F698D">
                        <w:rPr>
                          <w:b/>
                          <w:bCs/>
                          <w:color w:val="FFFFFF" w:themeColor="background1"/>
                          <w:sz w:val="32"/>
                          <w:szCs w:val="36"/>
                        </w:rPr>
                        <w:t>KIT DE DEPLOIEMENT DE L’IDENTITOVIGILANCE</w:t>
                      </w:r>
                    </w:p>
                    <w:p w14:paraId="2E81EFB1" w14:textId="77777777" w:rsidR="009606D9" w:rsidRDefault="009606D9" w:rsidP="000F698D">
                      <w:pPr>
                        <w:contextualSpacing/>
                        <w:jc w:val="center"/>
                        <w:outlineLvl w:val="0"/>
                        <w:rPr>
                          <w:b/>
                          <w:bCs/>
                          <w:color w:val="FFFFFF" w:themeColor="background1"/>
                          <w:sz w:val="32"/>
                          <w:szCs w:val="36"/>
                        </w:rPr>
                      </w:pPr>
                    </w:p>
                    <w:p w14:paraId="58AF3BE1" w14:textId="08426262" w:rsidR="009606D9" w:rsidRPr="000F698D" w:rsidRDefault="009606D9" w:rsidP="000F698D">
                      <w:pPr>
                        <w:contextualSpacing/>
                        <w:jc w:val="center"/>
                        <w:outlineLvl w:val="0"/>
                        <w:rPr>
                          <w:b/>
                          <w:bCs/>
                          <w:color w:val="FFFFFF" w:themeColor="background1"/>
                          <w:sz w:val="32"/>
                          <w:szCs w:val="36"/>
                        </w:rPr>
                      </w:pPr>
                      <w:r>
                        <w:rPr>
                          <w:b/>
                          <w:bCs/>
                          <w:color w:val="FFFFFF" w:themeColor="background1"/>
                          <w:sz w:val="32"/>
                          <w:szCs w:val="36"/>
                        </w:rPr>
                        <w:t>COMP</w:t>
                      </w:r>
                      <w:r w:rsidR="008F10E6">
                        <w:rPr>
                          <w:b/>
                          <w:bCs/>
                          <w:color w:val="FFFFFF" w:themeColor="background1"/>
                          <w:sz w:val="32"/>
                          <w:szCs w:val="36"/>
                        </w:rPr>
                        <w:t>R</w:t>
                      </w:r>
                      <w:r>
                        <w:rPr>
                          <w:b/>
                          <w:bCs/>
                          <w:color w:val="FFFFFF" w:themeColor="background1"/>
                          <w:sz w:val="32"/>
                          <w:szCs w:val="36"/>
                        </w:rPr>
                        <w:t>ENDRE</w:t>
                      </w:r>
                    </w:p>
                  </w:txbxContent>
                </v:textbox>
                <w10:anchorlock/>
              </v:rect>
            </w:pict>
          </mc:Fallback>
        </mc:AlternateContent>
      </w:r>
    </w:p>
    <w:p w14:paraId="19574F74" w14:textId="2A570CCA" w:rsidR="00E01867" w:rsidRPr="000F698D" w:rsidRDefault="00E01867" w:rsidP="00D526EF">
      <w:pPr>
        <w:pStyle w:val="Titre1"/>
        <w:numPr>
          <w:ilvl w:val="0"/>
          <w:numId w:val="20"/>
        </w:numPr>
        <w:jc w:val="both"/>
      </w:pPr>
      <w:bookmarkStart w:id="0" w:name="_Toc89358447"/>
      <w:r w:rsidRPr="000F698D">
        <w:t>Pourquoi ce kit ?</w:t>
      </w:r>
      <w:bookmarkEnd w:id="0"/>
    </w:p>
    <w:p w14:paraId="458FE2EB" w14:textId="77777777" w:rsidR="00E01867" w:rsidRPr="00E01867" w:rsidRDefault="00E01867" w:rsidP="00E01867">
      <w:pPr>
        <w:jc w:val="both"/>
        <w:rPr>
          <w:rFonts w:ascii="Arial" w:eastAsia="Arial" w:hAnsi="Arial" w:cs="Arial"/>
          <w:sz w:val="20"/>
        </w:rPr>
      </w:pPr>
      <w:r w:rsidRPr="00E01867">
        <w:rPr>
          <w:rFonts w:ascii="Arial" w:eastAsia="Arial" w:hAnsi="Arial" w:cs="Arial"/>
          <w:sz w:val="20"/>
        </w:rPr>
        <w:t>La bonne identification d’un usager est un facteur clé de la sécurité de son parcours de santé. Elle constitue le premier acte d’un processus qui se prolonge tout au long de son accompagnement par les différents professionnels impliqués, quels que soient le secteur d’activité et les prestations délivrées.</w:t>
      </w:r>
    </w:p>
    <w:p w14:paraId="3C0119AD" w14:textId="19D813F8" w:rsidR="00E01867" w:rsidRPr="00E01867" w:rsidRDefault="00E01867" w:rsidP="00E01867">
      <w:pPr>
        <w:jc w:val="both"/>
        <w:rPr>
          <w:color w:val="0070CD" w:themeColor="text2"/>
          <w:sz w:val="20"/>
          <w:szCs w:val="20"/>
        </w:rPr>
      </w:pPr>
      <w:r w:rsidRPr="00E01867">
        <w:rPr>
          <w:rFonts w:ascii="Arial" w:eastAsia="Arial" w:hAnsi="Arial" w:cs="Arial"/>
          <w:sz w:val="20"/>
        </w:rPr>
        <w:t>Les risques encourus en cas d’identification imparfaite sont fréquents. L’erreur la plus grave en termes de conséquences et la mieux identifiée en secteur médico</w:t>
      </w:r>
      <w:r w:rsidR="007B4DF0">
        <w:rPr>
          <w:rFonts w:ascii="Arial" w:eastAsia="Arial" w:hAnsi="Arial" w:cs="Arial"/>
          <w:sz w:val="20"/>
        </w:rPr>
        <w:t>-</w:t>
      </w:r>
      <w:r w:rsidRPr="00E01867">
        <w:rPr>
          <w:rFonts w:ascii="Arial" w:eastAsia="Arial" w:hAnsi="Arial" w:cs="Arial"/>
          <w:sz w:val="20"/>
        </w:rPr>
        <w:t>social est l’administration de médicaments au mauvais usager ; elle peut être à l’origine d’un événement indésirable grave associé aux soins (EIGS). L’identification erronée peut aussi être la source d’autres événements indésirables qui ont pour conséquences (liste non exhaustive) : une prise en charge inadaptée par les partenaires, un retard de prise en charge, une absence de soin ou une prestation inadéquate, l’échange ou transmission d’informations non pertinentes, l’enregistrement de données dans le dossier d’un autre usager (</w:t>
      </w:r>
      <w:r w:rsidRPr="00E01867">
        <w:rPr>
          <w:rFonts w:ascii="Arial" w:eastAsia="Arial" w:hAnsi="Arial" w:cs="Arial"/>
          <w:i/>
          <w:sz w:val="20"/>
        </w:rPr>
        <w:t>collision</w:t>
      </w:r>
      <w:r w:rsidRPr="00E01867">
        <w:rPr>
          <w:rFonts w:ascii="Arial" w:eastAsia="Arial" w:hAnsi="Arial" w:cs="Arial"/>
          <w:sz w:val="20"/>
        </w:rPr>
        <w:t>), la création de plusieurs dossiers pour un même usager (</w:t>
      </w:r>
      <w:r w:rsidRPr="00E01867">
        <w:rPr>
          <w:rFonts w:ascii="Arial" w:eastAsia="Arial" w:hAnsi="Arial" w:cs="Arial"/>
          <w:i/>
          <w:sz w:val="20"/>
        </w:rPr>
        <w:t>doublons</w:t>
      </w:r>
      <w:r w:rsidRPr="00E01867">
        <w:rPr>
          <w:rFonts w:ascii="Arial" w:eastAsia="Arial" w:hAnsi="Arial" w:cs="Arial"/>
          <w:sz w:val="20"/>
        </w:rPr>
        <w:t>)…</w:t>
      </w:r>
    </w:p>
    <w:p w14:paraId="1142E68E" w14:textId="77777777" w:rsidR="00E01867" w:rsidRPr="00E01867" w:rsidRDefault="00E01867" w:rsidP="00E01867">
      <w:pPr>
        <w:jc w:val="both"/>
        <w:rPr>
          <w:sz w:val="20"/>
        </w:rPr>
      </w:pPr>
      <w:r w:rsidRPr="00E01867">
        <w:rPr>
          <w:sz w:val="20"/>
        </w:rPr>
        <w:t xml:space="preserve">Ce guide pratique vise à faciliter le travail des professionnels en charge de la mise en place des bonnes pratiques d’identitovigilance dans les établissements médico-sociaux. Il est réalisé sur la base des analyses et des avis d’experts de l’identitovigilance ainsi que d’experts du secteur médico-social. </w:t>
      </w:r>
    </w:p>
    <w:p w14:paraId="4E938DDB" w14:textId="77777777" w:rsidR="00E01867" w:rsidRPr="009F0369" w:rsidRDefault="00E01867" w:rsidP="009F0369">
      <w:pPr>
        <w:spacing w:after="0"/>
        <w:jc w:val="both"/>
        <w:rPr>
          <w:sz w:val="20"/>
        </w:rPr>
      </w:pPr>
      <w:r w:rsidRPr="009F0369">
        <w:rPr>
          <w:sz w:val="20"/>
        </w:rPr>
        <w:t>Il permet :</w:t>
      </w:r>
    </w:p>
    <w:p w14:paraId="0DB5F436" w14:textId="683594D9" w:rsidR="00E01867" w:rsidRPr="00E01867" w:rsidRDefault="00E01867" w:rsidP="00E8780B">
      <w:pPr>
        <w:numPr>
          <w:ilvl w:val="0"/>
          <w:numId w:val="13"/>
        </w:numPr>
        <w:contextualSpacing/>
        <w:jc w:val="both"/>
        <w:rPr>
          <w:sz w:val="20"/>
        </w:rPr>
      </w:pPr>
      <w:r w:rsidRPr="00E01867">
        <w:rPr>
          <w:sz w:val="20"/>
        </w:rPr>
        <w:t>de comprendre l’identitovigilance et ses enjeux</w:t>
      </w:r>
      <w:r w:rsidR="009F0369">
        <w:rPr>
          <w:sz w:val="20"/>
        </w:rPr>
        <w:t> ;</w:t>
      </w:r>
    </w:p>
    <w:p w14:paraId="18667371" w14:textId="0505DEF4" w:rsidR="00E01867" w:rsidRPr="00E01867" w:rsidRDefault="00E01867" w:rsidP="00E8780B">
      <w:pPr>
        <w:numPr>
          <w:ilvl w:val="0"/>
          <w:numId w:val="13"/>
        </w:numPr>
        <w:contextualSpacing/>
        <w:jc w:val="both"/>
        <w:rPr>
          <w:sz w:val="20"/>
        </w:rPr>
      </w:pPr>
      <w:r w:rsidRPr="00E01867">
        <w:rPr>
          <w:sz w:val="20"/>
        </w:rPr>
        <w:t xml:space="preserve">d’identifier les différentes étapes clé à respecter pour conduire une politique d’identitovigilance en établissements </w:t>
      </w:r>
      <w:r w:rsidR="007875BB">
        <w:rPr>
          <w:sz w:val="20"/>
        </w:rPr>
        <w:t xml:space="preserve">et services </w:t>
      </w:r>
      <w:r w:rsidRPr="00E01867">
        <w:rPr>
          <w:sz w:val="20"/>
        </w:rPr>
        <w:t>médico-sociaux</w:t>
      </w:r>
      <w:r w:rsidR="009F0369">
        <w:rPr>
          <w:sz w:val="20"/>
        </w:rPr>
        <w:t> ;</w:t>
      </w:r>
    </w:p>
    <w:p w14:paraId="2D6775E4" w14:textId="5738404A" w:rsidR="00E01867" w:rsidRDefault="00E01867" w:rsidP="00E8780B">
      <w:pPr>
        <w:numPr>
          <w:ilvl w:val="0"/>
          <w:numId w:val="13"/>
        </w:numPr>
        <w:contextualSpacing/>
        <w:jc w:val="both"/>
        <w:rPr>
          <w:sz w:val="20"/>
        </w:rPr>
      </w:pPr>
      <w:r w:rsidRPr="00E01867">
        <w:rPr>
          <w:sz w:val="20"/>
        </w:rPr>
        <w:t xml:space="preserve">de disposer de ressources permettant de produire les documents et outils indispensables à cette démarche. </w:t>
      </w:r>
    </w:p>
    <w:p w14:paraId="240748ED" w14:textId="77777777" w:rsidR="007875BB" w:rsidRPr="00E01867" w:rsidRDefault="007875BB" w:rsidP="007875BB">
      <w:pPr>
        <w:ind w:left="1080"/>
        <w:contextualSpacing/>
        <w:jc w:val="both"/>
        <w:rPr>
          <w:sz w:val="20"/>
        </w:rPr>
      </w:pPr>
    </w:p>
    <w:p w14:paraId="75227C60" w14:textId="4D6ED6A7" w:rsidR="00E01867" w:rsidRPr="009F0369" w:rsidRDefault="00E01867" w:rsidP="009F0369">
      <w:pPr>
        <w:spacing w:after="0"/>
        <w:jc w:val="both"/>
        <w:rPr>
          <w:sz w:val="20"/>
        </w:rPr>
      </w:pPr>
      <w:r w:rsidRPr="009F0369">
        <w:rPr>
          <w:sz w:val="20"/>
        </w:rPr>
        <w:t xml:space="preserve">Il comprend : </w:t>
      </w:r>
    </w:p>
    <w:p w14:paraId="6E757E92" w14:textId="7B0775E3" w:rsidR="005E3AFA" w:rsidRPr="005E3AFA" w:rsidRDefault="005E3AFA" w:rsidP="005E3AFA">
      <w:pPr>
        <w:numPr>
          <w:ilvl w:val="0"/>
          <w:numId w:val="13"/>
        </w:numPr>
        <w:contextualSpacing/>
        <w:jc w:val="both"/>
        <w:rPr>
          <w:sz w:val="20"/>
        </w:rPr>
      </w:pPr>
      <w:r>
        <w:rPr>
          <w:sz w:val="20"/>
        </w:rPr>
        <w:t xml:space="preserve">Ce </w:t>
      </w:r>
      <w:r w:rsidRPr="005E3AFA">
        <w:rPr>
          <w:sz w:val="20"/>
        </w:rPr>
        <w:t xml:space="preserve">document pour comprendre les enjeux de l’identitovigilance dans les établissement </w:t>
      </w:r>
      <w:r>
        <w:rPr>
          <w:sz w:val="20"/>
        </w:rPr>
        <w:t>et services médico-sociaux</w:t>
      </w:r>
      <w:r w:rsidRPr="005E3AFA">
        <w:rPr>
          <w:sz w:val="20"/>
        </w:rPr>
        <w:t xml:space="preserve">  </w:t>
      </w:r>
    </w:p>
    <w:p w14:paraId="470A52D4" w14:textId="106D608C" w:rsidR="00E01867" w:rsidRPr="001B28F2" w:rsidRDefault="005E3AFA" w:rsidP="001B28F2">
      <w:pPr>
        <w:numPr>
          <w:ilvl w:val="0"/>
          <w:numId w:val="13"/>
        </w:numPr>
        <w:contextualSpacing/>
        <w:jc w:val="both"/>
        <w:rPr>
          <w:sz w:val="20"/>
        </w:rPr>
      </w:pPr>
      <w:r w:rsidRPr="005E3AFA">
        <w:rPr>
          <w:sz w:val="20"/>
        </w:rPr>
        <w:t xml:space="preserve">Un guide opérationnel d’aide à la mise en œuvre pour les établissements </w:t>
      </w:r>
      <w:r w:rsidR="007E3B76">
        <w:rPr>
          <w:sz w:val="20"/>
        </w:rPr>
        <w:t xml:space="preserve">et services médico-sociaux, composé de plusieurs volets à destination des </w:t>
      </w:r>
      <w:r w:rsidR="00C709F0">
        <w:rPr>
          <w:sz w:val="20"/>
        </w:rPr>
        <w:t xml:space="preserve">différents acteurs </w:t>
      </w:r>
      <w:r w:rsidR="001B28F2">
        <w:rPr>
          <w:sz w:val="20"/>
        </w:rPr>
        <w:t xml:space="preserve">de la structure impliqués dans la mise en œuvre </w:t>
      </w:r>
      <w:r w:rsidR="009F0369" w:rsidRPr="001B28F2">
        <w:rPr>
          <w:sz w:val="20"/>
        </w:rPr>
        <w:t>;</w:t>
      </w:r>
    </w:p>
    <w:p w14:paraId="721874D7" w14:textId="352CF24F" w:rsidR="00E01867" w:rsidRDefault="00FD3693" w:rsidP="00E8780B">
      <w:pPr>
        <w:numPr>
          <w:ilvl w:val="0"/>
          <w:numId w:val="13"/>
        </w:numPr>
        <w:contextualSpacing/>
        <w:jc w:val="both"/>
        <w:rPr>
          <w:sz w:val="20"/>
        </w:rPr>
      </w:pPr>
      <w:r>
        <w:rPr>
          <w:sz w:val="20"/>
        </w:rPr>
        <w:t>D</w:t>
      </w:r>
      <w:r w:rsidR="00E01867" w:rsidRPr="00E01867">
        <w:rPr>
          <w:sz w:val="20"/>
        </w:rPr>
        <w:t>es fiches pratiques de mise en œuvre</w:t>
      </w:r>
      <w:r w:rsidR="009F0369">
        <w:rPr>
          <w:sz w:val="20"/>
        </w:rPr>
        <w:t> ;</w:t>
      </w:r>
    </w:p>
    <w:p w14:paraId="19658E38" w14:textId="39C0EC8D" w:rsidR="004B11BE" w:rsidRPr="005E3AFA" w:rsidRDefault="004B11BE" w:rsidP="004B11BE">
      <w:pPr>
        <w:numPr>
          <w:ilvl w:val="0"/>
          <w:numId w:val="13"/>
        </w:numPr>
        <w:contextualSpacing/>
        <w:jc w:val="both"/>
        <w:rPr>
          <w:sz w:val="20"/>
        </w:rPr>
      </w:pPr>
      <w:r w:rsidRPr="005E3AFA">
        <w:rPr>
          <w:sz w:val="20"/>
        </w:rPr>
        <w:t xml:space="preserve">Un référencement des </w:t>
      </w:r>
      <w:r>
        <w:rPr>
          <w:sz w:val="20"/>
        </w:rPr>
        <w:t xml:space="preserve">principales ressources </w:t>
      </w:r>
      <w:r w:rsidR="00FD3693">
        <w:rPr>
          <w:sz w:val="20"/>
        </w:rPr>
        <w:t xml:space="preserve">documentaires </w:t>
      </w:r>
      <w:r w:rsidRPr="005E3AFA">
        <w:rPr>
          <w:sz w:val="20"/>
        </w:rPr>
        <w:t>existant</w:t>
      </w:r>
      <w:r>
        <w:rPr>
          <w:sz w:val="20"/>
        </w:rPr>
        <w:t>e</w:t>
      </w:r>
      <w:r w:rsidRPr="005E3AFA">
        <w:rPr>
          <w:sz w:val="20"/>
        </w:rPr>
        <w:t>s au niveau national ou local</w:t>
      </w:r>
      <w:r w:rsidR="00FD3693">
        <w:rPr>
          <w:sz w:val="20"/>
        </w:rPr>
        <w:t> ;</w:t>
      </w:r>
    </w:p>
    <w:p w14:paraId="2F47568A" w14:textId="0B57B283" w:rsidR="00E01867" w:rsidRPr="00E01867" w:rsidRDefault="00FD3693" w:rsidP="00E8780B">
      <w:pPr>
        <w:numPr>
          <w:ilvl w:val="0"/>
          <w:numId w:val="13"/>
        </w:numPr>
        <w:contextualSpacing/>
        <w:jc w:val="both"/>
        <w:rPr>
          <w:sz w:val="20"/>
        </w:rPr>
      </w:pPr>
      <w:r>
        <w:rPr>
          <w:sz w:val="20"/>
        </w:rPr>
        <w:t>D</w:t>
      </w:r>
      <w:r w:rsidR="00E01867" w:rsidRPr="00E01867">
        <w:rPr>
          <w:sz w:val="20"/>
        </w:rPr>
        <w:t>es outils pour mettre en œuvre la politique d’identitovigilance dans le secteur médico-social</w:t>
      </w:r>
      <w:r w:rsidR="007875BB">
        <w:rPr>
          <w:sz w:val="20"/>
        </w:rPr>
        <w:t xml:space="preserve">. </w:t>
      </w:r>
      <w:r w:rsidR="00E01867" w:rsidRPr="00E01867">
        <w:rPr>
          <w:sz w:val="20"/>
        </w:rPr>
        <w:t xml:space="preserve"> </w:t>
      </w:r>
    </w:p>
    <w:p w14:paraId="5E8AC7CD" w14:textId="7E1EE06D" w:rsidR="00E8780B" w:rsidRPr="000D0B91" w:rsidRDefault="00E01867" w:rsidP="00D526EF">
      <w:pPr>
        <w:pStyle w:val="Titre1"/>
        <w:numPr>
          <w:ilvl w:val="0"/>
          <w:numId w:val="20"/>
        </w:numPr>
        <w:jc w:val="both"/>
      </w:pPr>
      <w:bookmarkStart w:id="1" w:name="_Toc89358448"/>
      <w:r w:rsidRPr="00E8780B">
        <w:t xml:space="preserve">Identitovigilance et identité nationale de santé </w:t>
      </w:r>
      <w:bookmarkStart w:id="2" w:name="_Toc89358449"/>
      <w:bookmarkEnd w:id="1"/>
    </w:p>
    <w:p w14:paraId="7504DC7A" w14:textId="77777777" w:rsidR="009543B7" w:rsidRDefault="009543B7" w:rsidP="009543B7">
      <w:pPr>
        <w:pStyle w:val="Titre2"/>
        <w:spacing w:before="120"/>
        <w:contextualSpacing w:val="0"/>
      </w:pPr>
    </w:p>
    <w:p w14:paraId="715C4A76" w14:textId="76C45C2D" w:rsidR="009543B7" w:rsidRPr="00CC3CC7" w:rsidRDefault="009543B7" w:rsidP="009543B7">
      <w:pPr>
        <w:pStyle w:val="Titre2"/>
        <w:spacing w:before="120"/>
        <w:contextualSpacing w:val="0"/>
      </w:pPr>
      <w:r w:rsidRPr="00F76F3B">
        <w:t xml:space="preserve">Pour parler le même langage </w:t>
      </w:r>
    </w:p>
    <w:p w14:paraId="7B375E92" w14:textId="49C35300" w:rsidR="000D3268" w:rsidRPr="00E01867" w:rsidRDefault="00D02306" w:rsidP="000D3268">
      <w:pPr>
        <w:jc w:val="both"/>
        <w:rPr>
          <w:b/>
          <w:bCs/>
          <w:sz w:val="20"/>
        </w:rPr>
      </w:pPr>
      <w:r w:rsidRPr="00065A25">
        <w:rPr>
          <w:rFonts w:asciiTheme="majorHAnsi" w:hAnsiTheme="majorHAnsi" w:cstheme="majorHAnsi"/>
          <w:b/>
          <w:bCs/>
          <w:sz w:val="20"/>
          <w:szCs w:val="20"/>
          <w:u w:val="single"/>
        </w:rPr>
        <w:t>L'</w:t>
      </w:r>
      <w:r w:rsidRPr="00065A25">
        <w:rPr>
          <w:rFonts w:asciiTheme="majorHAnsi" w:hAnsiTheme="majorHAnsi" w:cstheme="majorHAnsi"/>
          <w:b/>
          <w:bCs/>
          <w:i/>
          <w:iCs/>
          <w:sz w:val="20"/>
          <w:szCs w:val="20"/>
          <w:u w:val="single"/>
        </w:rPr>
        <w:t>identitovigilance</w:t>
      </w:r>
      <w:r w:rsidRPr="00065A25">
        <w:rPr>
          <w:rFonts w:asciiTheme="majorHAnsi" w:hAnsiTheme="majorHAnsi" w:cstheme="majorHAnsi"/>
          <w:sz w:val="20"/>
          <w:szCs w:val="20"/>
        </w:rPr>
        <w:t xml:space="preserve"> </w:t>
      </w:r>
      <w:r w:rsidRPr="00065A25">
        <w:rPr>
          <w:rFonts w:asciiTheme="majorHAnsi" w:eastAsia="Calibri" w:hAnsiTheme="majorHAnsi" w:cstheme="majorHAnsi"/>
          <w:sz w:val="20"/>
          <w:szCs w:val="20"/>
        </w:rPr>
        <w:t xml:space="preserve">est définie </w:t>
      </w:r>
      <w:r w:rsidR="000D3268" w:rsidRPr="00E01867">
        <w:rPr>
          <w:b/>
          <w:bCs/>
          <w:sz w:val="20"/>
        </w:rPr>
        <w:t>comme l’organisation et les moyens à mettre en œuvre pour fiabiliser l’identification de l’usager à toutes les étapes de son parcours.</w:t>
      </w:r>
      <w:r w:rsidR="000D3268">
        <w:rPr>
          <w:b/>
          <w:bCs/>
          <w:sz w:val="20"/>
        </w:rPr>
        <w:t xml:space="preserve"> </w:t>
      </w:r>
      <w:r w:rsidR="000D3268" w:rsidRPr="00065A25">
        <w:rPr>
          <w:rFonts w:asciiTheme="majorHAnsi" w:eastAsia="Calibri" w:hAnsiTheme="majorHAnsi" w:cstheme="majorHAnsi"/>
          <w:sz w:val="20"/>
          <w:szCs w:val="20"/>
        </w:rPr>
        <w:t>Elle concerne la compréhension et le respect par tous les acteurs des règles d’identification ainsi que la gestion des risques liés aux erreurs rencontrées.</w:t>
      </w:r>
    </w:p>
    <w:p w14:paraId="163413AF" w14:textId="77777777" w:rsidR="000D3268" w:rsidRPr="00E01867" w:rsidRDefault="000D3268" w:rsidP="000D3268">
      <w:pPr>
        <w:spacing w:after="0"/>
        <w:jc w:val="both"/>
        <w:rPr>
          <w:sz w:val="20"/>
        </w:rPr>
      </w:pPr>
      <w:r w:rsidRPr="00E01867">
        <w:rPr>
          <w:sz w:val="20"/>
        </w:rPr>
        <w:lastRenderedPageBreak/>
        <w:t xml:space="preserve">On distingue </w:t>
      </w:r>
      <w:r w:rsidRPr="00E01867">
        <w:rPr>
          <w:rFonts w:ascii="Arial" w:eastAsia="Arial" w:hAnsi="Arial" w:cs="Arial"/>
          <w:sz w:val="20"/>
        </w:rPr>
        <w:t>deux temps à finalités différentes, appelés identification primaire et secondaire</w:t>
      </w:r>
      <w:r>
        <w:rPr>
          <w:rFonts w:ascii="Arial" w:eastAsia="Arial" w:hAnsi="Arial" w:cs="Arial"/>
          <w:sz w:val="20"/>
        </w:rPr>
        <w:t xml:space="preserve"> : </w:t>
      </w:r>
    </w:p>
    <w:p w14:paraId="66E3D1CD" w14:textId="77777777" w:rsidR="000D3268" w:rsidRPr="00E01867" w:rsidRDefault="000D3268" w:rsidP="000D3268">
      <w:pPr>
        <w:numPr>
          <w:ilvl w:val="0"/>
          <w:numId w:val="13"/>
        </w:numPr>
        <w:contextualSpacing/>
        <w:jc w:val="both"/>
        <w:rPr>
          <w:rFonts w:eastAsiaTheme="minorEastAsia"/>
          <w:sz w:val="20"/>
        </w:rPr>
      </w:pPr>
      <w:r w:rsidRPr="00016CD1">
        <w:rPr>
          <w:color w:val="0070CD" w:themeColor="text2"/>
          <w:sz w:val="20"/>
        </w:rPr>
        <w:t>l'</w:t>
      </w:r>
      <w:r w:rsidRPr="00016CD1">
        <w:rPr>
          <w:i/>
          <w:iCs/>
          <w:color w:val="0070CD" w:themeColor="text2"/>
          <w:sz w:val="20"/>
        </w:rPr>
        <w:t>identification primaire</w:t>
      </w:r>
      <w:r w:rsidRPr="00016CD1">
        <w:rPr>
          <w:color w:val="0070CD" w:themeColor="text2"/>
          <w:sz w:val="20"/>
        </w:rPr>
        <w:t xml:space="preserve"> </w:t>
      </w:r>
      <w:r w:rsidRPr="00E01867">
        <w:rPr>
          <w:sz w:val="20"/>
        </w:rPr>
        <w:t xml:space="preserve">permet d’attribuer une identité numérique unique à un usager dans le système d’information dont la cible est le dossier </w:t>
      </w:r>
      <w:r w:rsidRPr="00776ACE">
        <w:rPr>
          <w:sz w:val="20"/>
        </w:rPr>
        <w:t>usager informatisé (DUI)</w:t>
      </w:r>
      <w:r w:rsidRPr="00776ACE">
        <w:rPr>
          <w:sz w:val="20"/>
          <w:vertAlign w:val="superscript"/>
        </w:rPr>
        <w:footnoteReference w:id="2"/>
      </w:r>
      <w:r w:rsidRPr="00776ACE">
        <w:rPr>
          <w:sz w:val="20"/>
        </w:rPr>
        <w:t>.Elle comprend les étapes de recherche, création, modification de l’identité numérique ainsi que l’attribution</w:t>
      </w:r>
      <w:r w:rsidRPr="00E01867">
        <w:rPr>
          <w:sz w:val="20"/>
        </w:rPr>
        <w:t xml:space="preserve"> d’un niveau de confiance à cette identité ; </w:t>
      </w:r>
    </w:p>
    <w:p w14:paraId="4CF48C46" w14:textId="77777777" w:rsidR="000D3268" w:rsidRPr="00E01867" w:rsidRDefault="000D3268" w:rsidP="000D3268">
      <w:pPr>
        <w:numPr>
          <w:ilvl w:val="0"/>
          <w:numId w:val="13"/>
        </w:numPr>
        <w:ind w:left="357" w:hanging="357"/>
        <w:jc w:val="both"/>
        <w:rPr>
          <w:sz w:val="20"/>
        </w:rPr>
      </w:pPr>
      <w:r w:rsidRPr="00016CD1">
        <w:rPr>
          <w:color w:val="0070CD" w:themeColor="text2"/>
          <w:sz w:val="20"/>
        </w:rPr>
        <w:t>l’</w:t>
      </w:r>
      <w:r w:rsidRPr="00016CD1">
        <w:rPr>
          <w:i/>
          <w:iCs/>
          <w:color w:val="0070CD" w:themeColor="text2"/>
          <w:sz w:val="20"/>
        </w:rPr>
        <w:t>identification secondaire</w:t>
      </w:r>
      <w:r w:rsidRPr="00016CD1">
        <w:rPr>
          <w:color w:val="0070CD" w:themeColor="text2"/>
          <w:sz w:val="20"/>
        </w:rPr>
        <w:t xml:space="preserve"> </w:t>
      </w:r>
      <w:r w:rsidRPr="00E01867">
        <w:rPr>
          <w:sz w:val="20"/>
        </w:rPr>
        <w:t>est à mettre en œuvre par toutes les personnes appelées à accompagner ou soigner l’usager, après que son identité numérique a été définie. Elle a pour objet de garantir que les prestations sont délivrées au bon usager et que les informations sont enregistrées dans le bon dossier. Elle consiste à intégrer des barrières de sécurité, dans les pratiques quotidiennes, afin de s’assurer que l’identité numérique enregistrée sur les documents et outils utilisés pour la prise en charge de l’usager (écran DUI, prescription, étiquette d’identification, pilulier, plateau repas, etc.) correspondent à l’identité physique de l’individu.</w:t>
      </w:r>
    </w:p>
    <w:p w14:paraId="5CB63B5C" w14:textId="77777777" w:rsidR="000D3268" w:rsidRPr="00E01867" w:rsidRDefault="000D3268" w:rsidP="000D3268">
      <w:pPr>
        <w:spacing w:after="0"/>
        <w:jc w:val="both"/>
        <w:rPr>
          <w:i/>
          <w:iCs/>
          <w:sz w:val="20"/>
        </w:rPr>
      </w:pPr>
      <w:r w:rsidRPr="00E01867">
        <w:rPr>
          <w:sz w:val="20"/>
        </w:rPr>
        <w:t xml:space="preserve">Les </w:t>
      </w:r>
      <w:r w:rsidRPr="00776ACE">
        <w:rPr>
          <w:sz w:val="20"/>
        </w:rPr>
        <w:t>procédures d’identitovigilance à mettre en œuvre sont décrites dans le Référentiel national d’identitovigilance (RNIV).</w:t>
      </w:r>
      <w:r w:rsidRPr="00E01867">
        <w:rPr>
          <w:sz w:val="20"/>
        </w:rPr>
        <w:t xml:space="preserve"> Les structures du secteur médicosocial sont soumises aux </w:t>
      </w:r>
      <w:r w:rsidRPr="00526513">
        <w:rPr>
          <w:sz w:val="20"/>
        </w:rPr>
        <w:t>volet 1</w:t>
      </w:r>
      <w:r>
        <w:rPr>
          <w:rStyle w:val="Appelnotedebasdep"/>
          <w:sz w:val="20"/>
        </w:rPr>
        <w:footnoteReference w:id="3"/>
      </w:r>
      <w:r>
        <w:rPr>
          <w:sz w:val="20"/>
        </w:rPr>
        <w:t xml:space="preserve"> </w:t>
      </w:r>
      <w:r w:rsidRPr="00E01867">
        <w:rPr>
          <w:sz w:val="20"/>
        </w:rPr>
        <w:t>(</w:t>
      </w:r>
      <w:r w:rsidRPr="00E01867">
        <w:rPr>
          <w:i/>
          <w:iCs/>
          <w:sz w:val="20"/>
        </w:rPr>
        <w:t>Principes d’identification communs à tous les acteurs de santé</w:t>
      </w:r>
      <w:r w:rsidRPr="00E01867">
        <w:rPr>
          <w:sz w:val="20"/>
        </w:rPr>
        <w:t>) et au</w:t>
      </w:r>
      <w:r>
        <w:rPr>
          <w:sz w:val="20"/>
        </w:rPr>
        <w:t xml:space="preserve"> volet 3</w:t>
      </w:r>
      <w:r>
        <w:rPr>
          <w:rStyle w:val="Appelnotedebasdep"/>
          <w:sz w:val="20"/>
        </w:rPr>
        <w:footnoteReference w:id="4"/>
      </w:r>
      <w:r>
        <w:rPr>
          <w:sz w:val="20"/>
        </w:rPr>
        <w:t xml:space="preserve"> </w:t>
      </w:r>
      <w:r w:rsidRPr="00E01867">
        <w:rPr>
          <w:sz w:val="20"/>
        </w:rPr>
        <w:t>(</w:t>
      </w:r>
      <w:r w:rsidRPr="00E01867">
        <w:rPr>
          <w:i/>
          <w:iCs/>
          <w:sz w:val="20"/>
        </w:rPr>
        <w:t xml:space="preserve">Mise en œuvre de l’identitovigilance </w:t>
      </w:r>
    </w:p>
    <w:p w14:paraId="561021C5" w14:textId="77777777" w:rsidR="000D3268" w:rsidRPr="00E01867" w:rsidRDefault="000D3268" w:rsidP="000D3268">
      <w:pPr>
        <w:spacing w:after="0"/>
        <w:jc w:val="both"/>
        <w:rPr>
          <w:sz w:val="20"/>
        </w:rPr>
      </w:pPr>
      <w:r w:rsidRPr="00E01867">
        <w:rPr>
          <w:i/>
          <w:iCs/>
          <w:sz w:val="20"/>
        </w:rPr>
        <w:t>par les « structures non hospitalières »</w:t>
      </w:r>
      <w:r w:rsidRPr="00E01867">
        <w:rPr>
          <w:sz w:val="20"/>
        </w:rPr>
        <w:t xml:space="preserve">). Ce référentiel traite : </w:t>
      </w:r>
    </w:p>
    <w:p w14:paraId="43EC6B3E" w14:textId="77777777" w:rsidR="000D3268" w:rsidRPr="00E01867" w:rsidRDefault="000D3268" w:rsidP="000D3268">
      <w:pPr>
        <w:numPr>
          <w:ilvl w:val="0"/>
          <w:numId w:val="14"/>
        </w:numPr>
        <w:contextualSpacing/>
        <w:jc w:val="both"/>
        <w:rPr>
          <w:rFonts w:eastAsiaTheme="minorEastAsia"/>
          <w:sz w:val="20"/>
        </w:rPr>
      </w:pPr>
      <w:r w:rsidRPr="00E01867">
        <w:rPr>
          <w:sz w:val="20"/>
        </w:rPr>
        <w:t>de la gouvernance et du pilotage de l’identitovigilance ;</w:t>
      </w:r>
    </w:p>
    <w:p w14:paraId="5FDAF9D8" w14:textId="77777777" w:rsidR="000D3268" w:rsidRPr="00E01867" w:rsidRDefault="000D3268" w:rsidP="000D3268">
      <w:pPr>
        <w:numPr>
          <w:ilvl w:val="0"/>
          <w:numId w:val="14"/>
        </w:numPr>
        <w:contextualSpacing/>
        <w:jc w:val="both"/>
        <w:rPr>
          <w:sz w:val="20"/>
        </w:rPr>
      </w:pPr>
      <w:r w:rsidRPr="00E01867">
        <w:rPr>
          <w:sz w:val="20"/>
        </w:rPr>
        <w:t>des bonnes pratiques d’identification primaire et de gestion de l’INS ;</w:t>
      </w:r>
    </w:p>
    <w:p w14:paraId="6EAFC8E1" w14:textId="77777777" w:rsidR="000D3268" w:rsidRPr="00E01867" w:rsidRDefault="000D3268" w:rsidP="000D3268">
      <w:pPr>
        <w:numPr>
          <w:ilvl w:val="0"/>
          <w:numId w:val="14"/>
        </w:numPr>
        <w:contextualSpacing/>
        <w:jc w:val="both"/>
        <w:rPr>
          <w:sz w:val="20"/>
        </w:rPr>
      </w:pPr>
      <w:r w:rsidRPr="00E01867">
        <w:rPr>
          <w:sz w:val="20"/>
        </w:rPr>
        <w:t>des bonnes pratiques d’identification secondaire ;</w:t>
      </w:r>
    </w:p>
    <w:p w14:paraId="68BA51C7" w14:textId="30EC0C8A" w:rsidR="000D3268" w:rsidRDefault="000D3268" w:rsidP="000D3268">
      <w:pPr>
        <w:numPr>
          <w:ilvl w:val="0"/>
          <w:numId w:val="14"/>
        </w:numPr>
        <w:contextualSpacing/>
        <w:jc w:val="both"/>
        <w:rPr>
          <w:sz w:val="20"/>
        </w:rPr>
      </w:pPr>
      <w:r w:rsidRPr="00E01867">
        <w:rPr>
          <w:sz w:val="20"/>
        </w:rPr>
        <w:t>de la gestion des risques associée aux erreurs d’identification.</w:t>
      </w:r>
    </w:p>
    <w:p w14:paraId="2F87250C" w14:textId="77777777" w:rsidR="000D3268" w:rsidRPr="00F83AFC" w:rsidRDefault="000D3268" w:rsidP="000D3268">
      <w:pPr>
        <w:contextualSpacing/>
        <w:jc w:val="both"/>
        <w:rPr>
          <w:sz w:val="20"/>
        </w:rPr>
      </w:pPr>
    </w:p>
    <w:p w14:paraId="4147DA99" w14:textId="77777777" w:rsidR="00D02306" w:rsidRPr="00065A25" w:rsidRDefault="00D02306" w:rsidP="00065A25">
      <w:pPr>
        <w:jc w:val="both"/>
        <w:rPr>
          <w:rFonts w:asciiTheme="majorHAnsi" w:eastAsia="Calibri" w:hAnsiTheme="majorHAnsi" w:cstheme="majorHAnsi"/>
          <w:sz w:val="20"/>
          <w:szCs w:val="20"/>
        </w:rPr>
      </w:pPr>
      <w:r w:rsidRPr="00065A25">
        <w:rPr>
          <w:rFonts w:asciiTheme="majorHAnsi" w:hAnsiTheme="majorHAnsi" w:cstheme="majorHAnsi"/>
          <w:b/>
          <w:bCs/>
          <w:i/>
          <w:iCs/>
          <w:sz w:val="20"/>
          <w:szCs w:val="20"/>
          <w:u w:val="single"/>
        </w:rPr>
        <w:t>L’identité</w:t>
      </w:r>
      <w:r w:rsidRPr="00065A25">
        <w:rPr>
          <w:rFonts w:asciiTheme="majorHAnsi" w:eastAsia="Calibri" w:hAnsiTheme="majorHAnsi" w:cstheme="majorHAnsi"/>
          <w:b/>
          <w:bCs/>
          <w:sz w:val="20"/>
          <w:szCs w:val="20"/>
        </w:rPr>
        <w:t xml:space="preserve"> </w:t>
      </w:r>
      <w:r w:rsidRPr="00065A25">
        <w:rPr>
          <w:rFonts w:asciiTheme="majorHAnsi" w:eastAsia="Calibri" w:hAnsiTheme="majorHAnsi" w:cstheme="majorHAnsi"/>
          <w:sz w:val="20"/>
          <w:szCs w:val="20"/>
        </w:rPr>
        <w:t xml:space="preserve">est un ensemble d’informations (appelées </w:t>
      </w:r>
      <w:r w:rsidRPr="00065A25">
        <w:rPr>
          <w:rFonts w:asciiTheme="majorHAnsi" w:eastAsia="Calibri" w:hAnsiTheme="majorHAnsi" w:cstheme="majorHAnsi"/>
          <w:i/>
          <w:iCs/>
          <w:sz w:val="20"/>
          <w:szCs w:val="20"/>
        </w:rPr>
        <w:t>traits d’identité</w:t>
      </w:r>
      <w:r w:rsidRPr="00065A25">
        <w:rPr>
          <w:rFonts w:asciiTheme="majorHAnsi" w:eastAsia="Calibri" w:hAnsiTheme="majorHAnsi" w:cstheme="majorHAnsi"/>
          <w:sz w:val="20"/>
          <w:szCs w:val="20"/>
        </w:rPr>
        <w:t>) qui permettent de reconnaître une personne physique et d'établir son individualité au regard de l’état civil (date et lieu de naissance, nom, prénom, filiation, etc.). Ces éléments sont attestés par des dispositifs d'identification : documents d'identité officiels ou leurs équivalents numériques.</w:t>
      </w:r>
    </w:p>
    <w:p w14:paraId="7C99E543" w14:textId="77777777" w:rsidR="00D02306" w:rsidRPr="00065A25" w:rsidRDefault="00D02306" w:rsidP="00065A25">
      <w:pPr>
        <w:jc w:val="both"/>
        <w:rPr>
          <w:rFonts w:asciiTheme="majorHAnsi" w:eastAsia="Calibri" w:hAnsiTheme="majorHAnsi" w:cstheme="majorHAnsi"/>
          <w:sz w:val="20"/>
          <w:szCs w:val="20"/>
        </w:rPr>
      </w:pPr>
      <w:r w:rsidRPr="00065A25">
        <w:rPr>
          <w:rFonts w:asciiTheme="majorHAnsi" w:hAnsiTheme="majorHAnsi" w:cstheme="majorHAnsi"/>
          <w:b/>
          <w:bCs/>
          <w:i/>
          <w:iCs/>
          <w:sz w:val="20"/>
          <w:szCs w:val="20"/>
          <w:u w:val="single"/>
        </w:rPr>
        <w:t>L’identité numérique</w:t>
      </w:r>
      <w:r w:rsidRPr="00065A25">
        <w:rPr>
          <w:rFonts w:asciiTheme="majorHAnsi" w:eastAsia="Calibri" w:hAnsiTheme="majorHAnsi" w:cstheme="majorHAnsi"/>
          <w:sz w:val="20"/>
          <w:szCs w:val="20"/>
        </w:rPr>
        <w:t xml:space="preserve"> correspond à la représentation d’un individu dans un système d’information. En santé, elle est composée de </w:t>
      </w:r>
      <w:r w:rsidRPr="00065A25">
        <w:rPr>
          <w:rFonts w:asciiTheme="majorHAnsi" w:eastAsia="Calibri" w:hAnsiTheme="majorHAnsi" w:cstheme="majorHAnsi"/>
          <w:i/>
          <w:iCs/>
          <w:sz w:val="20"/>
          <w:szCs w:val="20"/>
        </w:rPr>
        <w:t>traits stricts</w:t>
      </w:r>
      <w:r w:rsidRPr="00065A25">
        <w:rPr>
          <w:rFonts w:asciiTheme="majorHAnsi" w:eastAsia="Calibri" w:hAnsiTheme="majorHAnsi" w:cstheme="majorHAnsi"/>
          <w:sz w:val="20"/>
          <w:szCs w:val="20"/>
        </w:rPr>
        <w:t xml:space="preserve"> (éléments d'identification de base, obligatoires) et de </w:t>
      </w:r>
      <w:r w:rsidRPr="00065A25">
        <w:rPr>
          <w:rFonts w:asciiTheme="majorHAnsi" w:eastAsia="Calibri" w:hAnsiTheme="majorHAnsi" w:cstheme="majorHAnsi"/>
          <w:i/>
          <w:iCs/>
          <w:sz w:val="20"/>
          <w:szCs w:val="20"/>
        </w:rPr>
        <w:t>traits complémentaires</w:t>
      </w:r>
      <w:r w:rsidRPr="00065A25">
        <w:rPr>
          <w:rFonts w:asciiTheme="majorHAnsi" w:eastAsia="Calibri" w:hAnsiTheme="majorHAnsi" w:cstheme="majorHAnsi"/>
          <w:sz w:val="20"/>
          <w:szCs w:val="20"/>
        </w:rPr>
        <w:t xml:space="preserve"> (autres données personnelles). </w:t>
      </w:r>
    </w:p>
    <w:p w14:paraId="3CE21409" w14:textId="5A445810" w:rsidR="00D02306" w:rsidRPr="00065A25" w:rsidRDefault="00D02306" w:rsidP="00065A25">
      <w:pPr>
        <w:jc w:val="both"/>
        <w:rPr>
          <w:rFonts w:asciiTheme="majorHAnsi" w:eastAsiaTheme="minorEastAsia" w:hAnsiTheme="majorHAnsi" w:cstheme="majorHAnsi"/>
          <w:sz w:val="20"/>
          <w:szCs w:val="20"/>
        </w:rPr>
      </w:pPr>
      <w:r w:rsidRPr="00065A25">
        <w:rPr>
          <w:rFonts w:asciiTheme="majorHAnsi" w:hAnsiTheme="majorHAnsi" w:cstheme="majorHAnsi"/>
          <w:b/>
          <w:bCs/>
          <w:i/>
          <w:iCs/>
          <w:sz w:val="20"/>
          <w:szCs w:val="20"/>
          <w:u w:val="single"/>
        </w:rPr>
        <w:t>L’identification</w:t>
      </w:r>
      <w:r w:rsidRPr="00065A25">
        <w:rPr>
          <w:rFonts w:asciiTheme="majorHAnsi" w:eastAsia="Calibri" w:hAnsiTheme="majorHAnsi" w:cstheme="majorHAnsi"/>
          <w:sz w:val="20"/>
          <w:szCs w:val="20"/>
        </w:rPr>
        <w:t xml:space="preserve"> correspond aux opérations permettant d'établir l'identité d'un individu au regard de l'état civil. En santé, l'identification de l'usager a pour objet de lui attribuer une identité numérique – qui doit être unique - pour référencer tous les actes et documents dont il bénéficie en termes de prévention, diagnostic, traitement, suivi médico-social voire social. </w:t>
      </w:r>
    </w:p>
    <w:p w14:paraId="6C9B49C9" w14:textId="77777777" w:rsidR="00D02306" w:rsidRDefault="00D02306" w:rsidP="00CC3CC7">
      <w:pPr>
        <w:pStyle w:val="Titre2"/>
        <w:spacing w:before="120"/>
        <w:contextualSpacing w:val="0"/>
      </w:pPr>
    </w:p>
    <w:p w14:paraId="5F24A637" w14:textId="54DE6823" w:rsidR="009C0DCB" w:rsidRPr="00E01867" w:rsidRDefault="00E01867" w:rsidP="00F83AFC">
      <w:pPr>
        <w:pStyle w:val="Titre2"/>
      </w:pPr>
      <w:bookmarkStart w:id="3" w:name="_Toc89358450"/>
      <w:bookmarkEnd w:id="2"/>
      <w:r w:rsidRPr="00E01867">
        <w:t>Identité nationale de santé</w:t>
      </w:r>
      <w:bookmarkEnd w:id="3"/>
    </w:p>
    <w:p w14:paraId="2CC09060" w14:textId="298BF556" w:rsidR="00222239" w:rsidRPr="005037FD" w:rsidRDefault="00E01867" w:rsidP="28BEF9BF">
      <w:pPr>
        <w:jc w:val="both"/>
        <w:rPr>
          <w:sz w:val="20"/>
          <w:szCs w:val="20"/>
        </w:rPr>
      </w:pPr>
      <w:r w:rsidRPr="28BEF9BF">
        <w:rPr>
          <w:sz w:val="20"/>
          <w:szCs w:val="20"/>
        </w:rPr>
        <w:t>L’identité nationale de santé (INS) est une identité numérique provenant de bases nationales d’état civil</w:t>
      </w:r>
      <w:r w:rsidRPr="28BEF9BF">
        <w:rPr>
          <w:sz w:val="20"/>
          <w:szCs w:val="20"/>
          <w:vertAlign w:val="superscript"/>
        </w:rPr>
        <w:footnoteReference w:id="5"/>
      </w:r>
      <w:r w:rsidRPr="00E01867">
        <w:rPr>
          <w:sz w:val="20"/>
          <w:szCs w:val="20"/>
        </w:rPr>
        <w:t xml:space="preserve">. </w:t>
      </w:r>
      <w:r w:rsidRPr="28BEF9BF">
        <w:rPr>
          <w:sz w:val="20"/>
          <w:szCs w:val="20"/>
        </w:rPr>
        <w:t xml:space="preserve">Elle doit être utilisée depuis le </w:t>
      </w:r>
      <w:r w:rsidR="00AD145C" w:rsidRPr="28BEF9BF">
        <w:rPr>
          <w:sz w:val="20"/>
          <w:szCs w:val="20"/>
        </w:rPr>
        <w:t>1</w:t>
      </w:r>
      <w:r w:rsidR="00AD145C" w:rsidRPr="28BEF9BF">
        <w:rPr>
          <w:sz w:val="20"/>
          <w:szCs w:val="20"/>
          <w:vertAlign w:val="superscript"/>
        </w:rPr>
        <w:t>er</w:t>
      </w:r>
      <w:r w:rsidR="00AD145C" w:rsidRPr="28BEF9BF">
        <w:rPr>
          <w:sz w:val="20"/>
          <w:szCs w:val="20"/>
        </w:rPr>
        <w:t xml:space="preserve"> </w:t>
      </w:r>
      <w:r w:rsidRPr="28BEF9BF">
        <w:rPr>
          <w:sz w:val="20"/>
          <w:szCs w:val="20"/>
        </w:rPr>
        <w:t>janvier 2021 pour référencer, échanger et partager les données de santé</w:t>
      </w:r>
      <w:r w:rsidRPr="28BEF9BF">
        <w:rPr>
          <w:sz w:val="20"/>
          <w:szCs w:val="20"/>
          <w:vertAlign w:val="superscript"/>
        </w:rPr>
        <w:footnoteReference w:id="6"/>
      </w:r>
      <w:r w:rsidRPr="00E01867">
        <w:rPr>
          <w:sz w:val="20"/>
          <w:szCs w:val="20"/>
        </w:rPr>
        <w:t xml:space="preserve">. </w:t>
      </w:r>
      <w:r w:rsidRPr="28BEF9BF">
        <w:rPr>
          <w:sz w:val="20"/>
          <w:szCs w:val="20"/>
        </w:rPr>
        <w:t>L’utilisation de l’INS s’appuie sur un corpus réglementaire important, en particulier sur l’arrêté du 27 mai 2021</w:t>
      </w:r>
      <w:r w:rsidRPr="28BEF9BF">
        <w:rPr>
          <w:sz w:val="20"/>
          <w:szCs w:val="20"/>
          <w:vertAlign w:val="superscript"/>
        </w:rPr>
        <w:footnoteReference w:id="7"/>
      </w:r>
      <w:r w:rsidR="005E0302">
        <w:rPr>
          <w:sz w:val="20"/>
          <w:szCs w:val="20"/>
        </w:rPr>
        <w:t xml:space="preserve"> </w:t>
      </w:r>
      <w:r w:rsidRPr="28BEF9BF">
        <w:rPr>
          <w:sz w:val="20"/>
          <w:szCs w:val="20"/>
        </w:rPr>
        <w:t xml:space="preserve">qui rend opposables le </w:t>
      </w:r>
      <w:r w:rsidR="59F03A7A" w:rsidRPr="28BEF9BF">
        <w:rPr>
          <w:sz w:val="20"/>
          <w:szCs w:val="20"/>
        </w:rPr>
        <w:t>R</w:t>
      </w:r>
      <w:r w:rsidRPr="28BEF9BF">
        <w:rPr>
          <w:sz w:val="20"/>
          <w:szCs w:val="20"/>
        </w:rPr>
        <w:t xml:space="preserve">éférentiel INS, le Référentiel </w:t>
      </w:r>
      <w:r w:rsidR="069BADFA" w:rsidRPr="28BEF9BF">
        <w:rPr>
          <w:sz w:val="20"/>
          <w:szCs w:val="20"/>
        </w:rPr>
        <w:t>n</w:t>
      </w:r>
      <w:r w:rsidRPr="28BEF9BF">
        <w:rPr>
          <w:sz w:val="20"/>
          <w:szCs w:val="20"/>
        </w:rPr>
        <w:t>ational d’</w:t>
      </w:r>
      <w:r w:rsidR="7E94D344" w:rsidRPr="28BEF9BF">
        <w:rPr>
          <w:sz w:val="20"/>
          <w:szCs w:val="20"/>
        </w:rPr>
        <w:t>i</w:t>
      </w:r>
      <w:r w:rsidRPr="28BEF9BF">
        <w:rPr>
          <w:sz w:val="20"/>
          <w:szCs w:val="20"/>
        </w:rPr>
        <w:t xml:space="preserve">dentitovigilance (RNIV) et le </w:t>
      </w:r>
      <w:r w:rsidR="658B895C" w:rsidRPr="28BEF9BF">
        <w:rPr>
          <w:sz w:val="20"/>
          <w:szCs w:val="20"/>
        </w:rPr>
        <w:t>G</w:t>
      </w:r>
      <w:r w:rsidRPr="28BEF9BF">
        <w:rPr>
          <w:sz w:val="20"/>
          <w:szCs w:val="20"/>
        </w:rPr>
        <w:t xml:space="preserve">uide d’implémentation de l’INS. </w:t>
      </w:r>
      <w:r w:rsidR="005037FD" w:rsidRPr="00F76F3B">
        <w:rPr>
          <w:sz w:val="20"/>
          <w:szCs w:val="20"/>
        </w:rPr>
        <w:t>E</w:t>
      </w:r>
      <w:r w:rsidR="00E90E53" w:rsidRPr="00F76F3B">
        <w:rPr>
          <w:sz w:val="20"/>
          <w:szCs w:val="20"/>
        </w:rPr>
        <w:t>n ce sens l</w:t>
      </w:r>
      <w:r w:rsidR="00575AB8" w:rsidRPr="00F76F3B">
        <w:rPr>
          <w:sz w:val="20"/>
          <w:szCs w:val="20"/>
        </w:rPr>
        <w:t>es dispositions prévues au RNIV</w:t>
      </w:r>
      <w:r w:rsidR="00027D93" w:rsidRPr="00F76F3B">
        <w:rPr>
          <w:sz w:val="20"/>
          <w:szCs w:val="20"/>
        </w:rPr>
        <w:t xml:space="preserve">, en termes </w:t>
      </w:r>
      <w:r w:rsidR="00027D93" w:rsidRPr="00F76F3B">
        <w:rPr>
          <w:sz w:val="20"/>
          <w:szCs w:val="20"/>
        </w:rPr>
        <w:lastRenderedPageBreak/>
        <w:t>de bonnes pratiques et d’organisation, ne peuvent pas être ignorées par les responsables d’établissements</w:t>
      </w:r>
      <w:r w:rsidR="00617087" w:rsidRPr="00F76F3B">
        <w:rPr>
          <w:sz w:val="20"/>
          <w:szCs w:val="20"/>
        </w:rPr>
        <w:t>.</w:t>
      </w:r>
      <w:r w:rsidR="00FE7742" w:rsidRPr="28BEF9BF">
        <w:rPr>
          <w:i/>
          <w:iCs/>
          <w:color w:val="FF0000"/>
          <w:sz w:val="20"/>
          <w:szCs w:val="20"/>
        </w:rPr>
        <w:t xml:space="preserve"> </w:t>
      </w:r>
    </w:p>
    <w:p w14:paraId="3E528A78" w14:textId="1298407E" w:rsidR="00E01867" w:rsidRDefault="00564359" w:rsidP="00E01867">
      <w:pPr>
        <w:jc w:val="both"/>
        <w:rPr>
          <w:sz w:val="20"/>
        </w:rPr>
      </w:pPr>
      <w:r>
        <w:rPr>
          <w:sz w:val="20"/>
        </w:rPr>
        <w:t>L’</w:t>
      </w:r>
      <w:r w:rsidR="00E01867" w:rsidRPr="00E01867">
        <w:rPr>
          <w:sz w:val="20"/>
        </w:rPr>
        <w:t xml:space="preserve">INS est une identité unique, pérenne, partagée par tous les professionnels qui prennent en charge les usagers sur le plan sanitaire et médicosocial. Elle a pour objet d’améliorer la qualité et la sécurité des accompagnements et la coordination des parcours. </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3B7E6D" w:rsidRPr="00117524" w14:paraId="4E13B86B" w14:textId="77777777" w:rsidTr="00312D61">
        <w:tc>
          <w:tcPr>
            <w:tcW w:w="9062" w:type="dxa"/>
          </w:tcPr>
          <w:p w14:paraId="1034E88A" w14:textId="25C41572" w:rsidR="003B7E6D" w:rsidRPr="00F76F3B" w:rsidRDefault="00DF3521" w:rsidP="00DF3521">
            <w:pPr>
              <w:jc w:val="both"/>
              <w:rPr>
                <w:b/>
                <w:bCs/>
                <w:i/>
                <w:iCs/>
                <w:color w:val="C00000"/>
                <w:sz w:val="20"/>
              </w:rPr>
            </w:pPr>
            <w:r w:rsidRPr="00F76F3B">
              <w:rPr>
                <w:b/>
                <w:bCs/>
                <w:i/>
                <w:iCs/>
                <w:color w:val="C00000"/>
                <w:sz w:val="20"/>
              </w:rPr>
              <w:t>La notion d’o</w:t>
            </w:r>
            <w:r w:rsidR="003B7E6D" w:rsidRPr="00F76F3B">
              <w:rPr>
                <w:b/>
                <w:bCs/>
                <w:i/>
                <w:iCs/>
                <w:color w:val="C00000"/>
                <w:sz w:val="20"/>
              </w:rPr>
              <w:t>pposabilité</w:t>
            </w:r>
          </w:p>
          <w:p w14:paraId="54800384" w14:textId="458F6505" w:rsidR="006D0DB6" w:rsidRPr="00312D61" w:rsidRDefault="005719E3" w:rsidP="00312D61">
            <w:pPr>
              <w:spacing w:before="60" w:line="259" w:lineRule="auto"/>
              <w:jc w:val="both"/>
              <w:rPr>
                <w:sz w:val="20"/>
              </w:rPr>
            </w:pPr>
            <w:r w:rsidRPr="00F76F3B">
              <w:rPr>
                <w:sz w:val="20"/>
              </w:rPr>
              <w:t xml:space="preserve">L’arrêté du 27 mai 2021 rend opposables le Référentiel INS, le Référentiel national d’identitovigilance (RNIV) et le Guide d’implémentation de l’INS. Il donne ainsi aux dispositions prévues, en termes de bonnes pratiques et d’organisation, </w:t>
            </w:r>
            <w:r w:rsidRPr="00F76F3B">
              <w:rPr>
                <w:b/>
                <w:bCs/>
                <w:sz w:val="20"/>
              </w:rPr>
              <w:t>une valeur juridique opposable à tous les acteurs qui concourent à la prise en charge des usagers en traitant des données de santé</w:t>
            </w:r>
            <w:r w:rsidRPr="00F76F3B">
              <w:rPr>
                <w:sz w:val="20"/>
              </w:rPr>
              <w:t xml:space="preserve"> : usagers, professionnels de santé, agents chargés d’assurer la création et la modification des identités dans le système d’information, mais aussi éditeurs informatiques, responsables de traitement de l’ensemble des applications e-santé, Assurance maladie, voire organismes complémentaires et services sociaux (lorsqu’ils participent à la prise en charge).</w:t>
            </w:r>
            <w:r w:rsidR="00312D61" w:rsidRPr="00F76F3B">
              <w:rPr>
                <w:sz w:val="20"/>
              </w:rPr>
              <w:t xml:space="preserve"> </w:t>
            </w:r>
            <w:r w:rsidR="00CE74BF" w:rsidRPr="00F76F3B">
              <w:rPr>
                <w:b/>
                <w:bCs/>
                <w:sz w:val="20"/>
              </w:rPr>
              <w:t xml:space="preserve">Les dispositions s’imposent donc </w:t>
            </w:r>
            <w:r w:rsidR="00731485" w:rsidRPr="00F76F3B">
              <w:rPr>
                <w:b/>
                <w:bCs/>
                <w:sz w:val="20"/>
              </w:rPr>
              <w:t>aux acteurs et ne peuvent être ignorées</w:t>
            </w:r>
            <w:r w:rsidR="00731485" w:rsidRPr="00F76F3B">
              <w:rPr>
                <w:sz w:val="20"/>
              </w:rPr>
              <w:t>.</w:t>
            </w:r>
            <w:r w:rsidR="00731485">
              <w:rPr>
                <w:sz w:val="20"/>
              </w:rPr>
              <w:t xml:space="preserve"> </w:t>
            </w:r>
            <w:r w:rsidR="00312D61">
              <w:rPr>
                <w:sz w:val="20"/>
              </w:rPr>
              <w:t xml:space="preserve"> </w:t>
            </w:r>
          </w:p>
        </w:tc>
      </w:tr>
    </w:tbl>
    <w:p w14:paraId="6C729AC5" w14:textId="77777777" w:rsidR="00F83AFC" w:rsidRDefault="00F83AFC" w:rsidP="00E01867">
      <w:pPr>
        <w:jc w:val="both"/>
        <w:rPr>
          <w:sz w:val="20"/>
        </w:rPr>
      </w:pPr>
    </w:p>
    <w:p w14:paraId="0840923F" w14:textId="52825137" w:rsidR="00E01867" w:rsidRPr="00E01867" w:rsidRDefault="00E01867" w:rsidP="00E01867">
      <w:pPr>
        <w:jc w:val="both"/>
        <w:rPr>
          <w:sz w:val="20"/>
        </w:rPr>
      </w:pPr>
      <w:r w:rsidRPr="00E01867">
        <w:rPr>
          <w:sz w:val="20"/>
        </w:rPr>
        <w:t>L’INS doit être utilisée uniquement au sein des outils traitant des données de santé</w:t>
      </w:r>
      <w:r w:rsidRPr="00E01867">
        <w:rPr>
          <w:sz w:val="20"/>
          <w:vertAlign w:val="superscript"/>
        </w:rPr>
        <w:footnoteReference w:id="8"/>
      </w:r>
      <w:r w:rsidRPr="00E01867">
        <w:rPr>
          <w:sz w:val="20"/>
          <w:szCs w:val="20"/>
        </w:rPr>
        <w:t xml:space="preserve"> : </w:t>
      </w:r>
      <w:r w:rsidRPr="00E01867">
        <w:rPr>
          <w:sz w:val="20"/>
        </w:rPr>
        <w:t>le DUI et les documents associés (ordonnances, étiquettes, courriers).</w:t>
      </w:r>
    </w:p>
    <w:p w14:paraId="30372EF7" w14:textId="6E409D5A" w:rsidR="00E01867" w:rsidRPr="00E01867" w:rsidRDefault="00E01867" w:rsidP="00F83AFC">
      <w:pPr>
        <w:spacing w:after="0"/>
        <w:jc w:val="both"/>
        <w:rPr>
          <w:sz w:val="20"/>
        </w:rPr>
      </w:pPr>
      <w:r w:rsidRPr="00E01867">
        <w:rPr>
          <w:sz w:val="20"/>
        </w:rPr>
        <w:t>L'INS ne doit pas être utilisée</w:t>
      </w:r>
      <w:r w:rsidR="007A2C58">
        <w:rPr>
          <w:sz w:val="20"/>
        </w:rPr>
        <w:t xml:space="preserve"> </w:t>
      </w:r>
      <w:r w:rsidR="007A2C58">
        <w:rPr>
          <w:rStyle w:val="Appelnotedebasdep"/>
          <w:sz w:val="20"/>
        </w:rPr>
        <w:footnoteReference w:id="9"/>
      </w:r>
      <w:r w:rsidRPr="00E01867">
        <w:rPr>
          <w:sz w:val="20"/>
        </w:rPr>
        <w:t> :</w:t>
      </w:r>
    </w:p>
    <w:p w14:paraId="5011766C" w14:textId="605570DC" w:rsidR="00E01867" w:rsidRPr="00E01867" w:rsidRDefault="00E01867" w:rsidP="00E01867">
      <w:pPr>
        <w:numPr>
          <w:ilvl w:val="0"/>
          <w:numId w:val="9"/>
        </w:numPr>
        <w:contextualSpacing/>
        <w:jc w:val="both"/>
        <w:rPr>
          <w:sz w:val="20"/>
        </w:rPr>
      </w:pPr>
      <w:r w:rsidRPr="00E01867">
        <w:rPr>
          <w:sz w:val="20"/>
        </w:rPr>
        <w:t>dans les logiciels ne traitant pas des données de santé</w:t>
      </w:r>
      <w:r w:rsidR="00642C12">
        <w:rPr>
          <w:sz w:val="20"/>
        </w:rPr>
        <w:t xml:space="preserve"> ; </w:t>
      </w:r>
    </w:p>
    <w:p w14:paraId="48F8EC05" w14:textId="4B45FDA0" w:rsidR="00E01867" w:rsidRPr="00E01867" w:rsidRDefault="00E01867" w:rsidP="00E01867">
      <w:pPr>
        <w:numPr>
          <w:ilvl w:val="0"/>
          <w:numId w:val="9"/>
        </w:numPr>
        <w:contextualSpacing/>
        <w:jc w:val="both"/>
        <w:rPr>
          <w:sz w:val="20"/>
        </w:rPr>
      </w:pPr>
      <w:r w:rsidRPr="00E01867">
        <w:rPr>
          <w:sz w:val="20"/>
        </w:rPr>
        <w:t>en cas de doute sur l’identité de l’usager</w:t>
      </w:r>
      <w:r w:rsidR="00642C12">
        <w:rPr>
          <w:sz w:val="20"/>
        </w:rPr>
        <w:t xml:space="preserve"> ; </w:t>
      </w:r>
    </w:p>
    <w:p w14:paraId="10834D0B" w14:textId="7819DBF8" w:rsidR="00E01867" w:rsidRPr="00E01867" w:rsidRDefault="00E01867" w:rsidP="00E01867">
      <w:pPr>
        <w:numPr>
          <w:ilvl w:val="0"/>
          <w:numId w:val="9"/>
        </w:numPr>
        <w:contextualSpacing/>
        <w:jc w:val="both"/>
        <w:rPr>
          <w:sz w:val="20"/>
        </w:rPr>
      </w:pPr>
      <w:r w:rsidRPr="00E01867">
        <w:rPr>
          <w:sz w:val="20"/>
        </w:rPr>
        <w:t>dans les situations légales d’anonymat (prise en charge en addictologie par exemple)</w:t>
      </w:r>
      <w:r w:rsidR="00642C12">
        <w:rPr>
          <w:sz w:val="20"/>
        </w:rPr>
        <w:t xml:space="preserve">. </w:t>
      </w:r>
    </w:p>
    <w:p w14:paraId="182F4E94" w14:textId="52795D80" w:rsidR="00E01867" w:rsidRDefault="00E01867" w:rsidP="00E01867">
      <w:pPr>
        <w:spacing w:after="0"/>
        <w:jc w:val="both"/>
        <w:rPr>
          <w:sz w:val="20"/>
          <w:szCs w:val="20"/>
        </w:rPr>
      </w:pPr>
    </w:p>
    <w:p w14:paraId="3CC36DA3" w14:textId="77777777" w:rsidR="00BB4588" w:rsidRPr="00E01867" w:rsidRDefault="00BB4588" w:rsidP="00E01867">
      <w:pPr>
        <w:spacing w:after="0"/>
        <w:jc w:val="both"/>
        <w:rPr>
          <w:sz w:val="20"/>
          <w:szCs w:val="20"/>
        </w:rPr>
      </w:pPr>
    </w:p>
    <w:p w14:paraId="69E6445A" w14:textId="77777777" w:rsidR="00E01867" w:rsidRPr="00E01867" w:rsidRDefault="00E01867" w:rsidP="007A2C58">
      <w:pPr>
        <w:keepNext/>
        <w:spacing w:after="0"/>
        <w:jc w:val="both"/>
        <w:rPr>
          <w:sz w:val="20"/>
          <w:szCs w:val="20"/>
        </w:rPr>
      </w:pPr>
      <w:r w:rsidRPr="00E01867">
        <w:rPr>
          <w:sz w:val="20"/>
          <w:szCs w:val="20"/>
        </w:rPr>
        <w:t xml:space="preserve">L'INS est composée : </w:t>
      </w:r>
    </w:p>
    <w:p w14:paraId="41D92090" w14:textId="6CB5235F" w:rsidR="00E01867" w:rsidRPr="00E01867" w:rsidRDefault="00E01867" w:rsidP="007A2C58">
      <w:pPr>
        <w:numPr>
          <w:ilvl w:val="0"/>
          <w:numId w:val="9"/>
        </w:numPr>
        <w:contextualSpacing/>
        <w:jc w:val="both"/>
        <w:rPr>
          <w:rFonts w:eastAsiaTheme="minorEastAsia"/>
          <w:sz w:val="20"/>
          <w:szCs w:val="20"/>
        </w:rPr>
      </w:pPr>
      <w:r w:rsidRPr="00E01867">
        <w:rPr>
          <w:sz w:val="20"/>
          <w:szCs w:val="20"/>
        </w:rPr>
        <w:t xml:space="preserve">d’un </w:t>
      </w:r>
      <w:r w:rsidRPr="00E01867">
        <w:rPr>
          <w:i/>
          <w:iCs/>
          <w:sz w:val="20"/>
          <w:szCs w:val="20"/>
        </w:rPr>
        <w:t>matricule INS</w:t>
      </w:r>
      <w:r w:rsidRPr="00E01867">
        <w:rPr>
          <w:sz w:val="20"/>
          <w:szCs w:val="20"/>
        </w:rPr>
        <w:t xml:space="preserve">, constitué par le </w:t>
      </w:r>
      <w:r w:rsidRPr="007A2C58">
        <w:rPr>
          <w:sz w:val="20"/>
        </w:rPr>
        <w:t>numéro</w:t>
      </w:r>
      <w:r w:rsidRPr="00E01867">
        <w:rPr>
          <w:sz w:val="20"/>
          <w:szCs w:val="20"/>
        </w:rPr>
        <w:t xml:space="preserve"> d’identification au répertoire (NIR) ou, pour les usagers en cours d’immatriculation, par le numéro d’identification d’attente (NIA) et associé à un identifiant technique appelé OID (</w:t>
      </w:r>
      <w:r w:rsidRPr="00E01867">
        <w:rPr>
          <w:i/>
          <w:iCs/>
          <w:sz w:val="20"/>
          <w:szCs w:val="20"/>
        </w:rPr>
        <w:t>object identifier</w:t>
      </w:r>
      <w:r w:rsidRPr="00E01867">
        <w:rPr>
          <w:sz w:val="20"/>
          <w:szCs w:val="20"/>
        </w:rPr>
        <w:t>) qui précise la nature du matricule (NIR ou NIA)</w:t>
      </w:r>
      <w:r w:rsidR="00297C51">
        <w:rPr>
          <w:sz w:val="20"/>
          <w:szCs w:val="20"/>
        </w:rPr>
        <w:t xml:space="preserve">. </w:t>
      </w:r>
    </w:p>
    <w:p w14:paraId="41C3156B" w14:textId="77777777" w:rsidR="00E01867" w:rsidRPr="00E01867" w:rsidRDefault="00E01867" w:rsidP="00E01867">
      <w:pPr>
        <w:ind w:left="360"/>
        <w:contextualSpacing/>
        <w:jc w:val="both"/>
        <w:rPr>
          <w:rFonts w:eastAsiaTheme="minorEastAsia"/>
          <w:sz w:val="20"/>
          <w:szCs w:val="20"/>
        </w:rPr>
      </w:pPr>
    </w:p>
    <w:p w14:paraId="7419934B" w14:textId="77777777" w:rsidR="00E01867" w:rsidRPr="00E01867" w:rsidRDefault="00E01867" w:rsidP="007A2C58">
      <w:pPr>
        <w:numPr>
          <w:ilvl w:val="0"/>
          <w:numId w:val="9"/>
        </w:numPr>
        <w:contextualSpacing/>
        <w:jc w:val="both"/>
        <w:rPr>
          <w:sz w:val="20"/>
          <w:szCs w:val="20"/>
        </w:rPr>
      </w:pPr>
      <w:r w:rsidRPr="00E01867">
        <w:rPr>
          <w:sz w:val="20"/>
          <w:szCs w:val="20"/>
        </w:rPr>
        <w:t xml:space="preserve">de 5 </w:t>
      </w:r>
      <w:r w:rsidRPr="00E01867">
        <w:rPr>
          <w:i/>
          <w:iCs/>
          <w:sz w:val="20"/>
          <w:szCs w:val="20"/>
        </w:rPr>
        <w:t xml:space="preserve">traits </w:t>
      </w:r>
      <w:r w:rsidRPr="007A2C58">
        <w:rPr>
          <w:sz w:val="20"/>
        </w:rPr>
        <w:t>INS</w:t>
      </w:r>
      <w:r w:rsidRPr="00E01867">
        <w:rPr>
          <w:sz w:val="20"/>
          <w:szCs w:val="20"/>
        </w:rPr>
        <w:t xml:space="preserve"> : </w:t>
      </w:r>
    </w:p>
    <w:p w14:paraId="143493E4" w14:textId="77777777" w:rsidR="00E01867" w:rsidRPr="00E01867" w:rsidRDefault="00E01867" w:rsidP="00E01867">
      <w:pPr>
        <w:numPr>
          <w:ilvl w:val="1"/>
          <w:numId w:val="5"/>
        </w:numPr>
        <w:ind w:left="709" w:hanging="283"/>
        <w:contextualSpacing/>
        <w:jc w:val="both"/>
        <w:rPr>
          <w:sz w:val="20"/>
          <w:szCs w:val="20"/>
        </w:rPr>
      </w:pPr>
      <w:r w:rsidRPr="00E01867">
        <w:rPr>
          <w:sz w:val="20"/>
          <w:szCs w:val="20"/>
        </w:rPr>
        <w:t>le nom de naissance,</w:t>
      </w:r>
    </w:p>
    <w:p w14:paraId="401A5E2E" w14:textId="77777777" w:rsidR="00E01867" w:rsidRPr="00E01867" w:rsidRDefault="00E01867" w:rsidP="00E01867">
      <w:pPr>
        <w:numPr>
          <w:ilvl w:val="1"/>
          <w:numId w:val="5"/>
        </w:numPr>
        <w:ind w:left="709" w:hanging="283"/>
        <w:contextualSpacing/>
        <w:jc w:val="both"/>
        <w:rPr>
          <w:sz w:val="20"/>
          <w:szCs w:val="20"/>
        </w:rPr>
      </w:pPr>
      <w:r w:rsidRPr="00E01867">
        <w:rPr>
          <w:sz w:val="20"/>
          <w:szCs w:val="20"/>
        </w:rPr>
        <w:t xml:space="preserve">le(s) prénom(s) de l’état civil, </w:t>
      </w:r>
    </w:p>
    <w:p w14:paraId="4E9BE812" w14:textId="77777777" w:rsidR="00E01867" w:rsidRPr="00E01867" w:rsidRDefault="00E01867" w:rsidP="00E01867">
      <w:pPr>
        <w:numPr>
          <w:ilvl w:val="1"/>
          <w:numId w:val="5"/>
        </w:numPr>
        <w:ind w:left="709" w:hanging="283"/>
        <w:contextualSpacing/>
        <w:jc w:val="both"/>
        <w:rPr>
          <w:sz w:val="20"/>
          <w:szCs w:val="20"/>
        </w:rPr>
      </w:pPr>
      <w:r w:rsidRPr="00E01867">
        <w:rPr>
          <w:sz w:val="20"/>
          <w:szCs w:val="20"/>
        </w:rPr>
        <w:t>la date de naissance,</w:t>
      </w:r>
    </w:p>
    <w:p w14:paraId="4E22E0D1" w14:textId="77777777" w:rsidR="00E01867" w:rsidRPr="00E01867" w:rsidRDefault="00E01867" w:rsidP="00E01867">
      <w:pPr>
        <w:numPr>
          <w:ilvl w:val="1"/>
          <w:numId w:val="5"/>
        </w:numPr>
        <w:ind w:left="709" w:hanging="283"/>
        <w:contextualSpacing/>
        <w:jc w:val="both"/>
        <w:rPr>
          <w:sz w:val="20"/>
          <w:szCs w:val="20"/>
        </w:rPr>
      </w:pPr>
      <w:r w:rsidRPr="00E01867">
        <w:rPr>
          <w:sz w:val="20"/>
          <w:szCs w:val="20"/>
        </w:rPr>
        <w:t>le sexe,</w:t>
      </w:r>
    </w:p>
    <w:p w14:paraId="2B178972" w14:textId="77777777" w:rsidR="00E01867" w:rsidRPr="00E01867" w:rsidRDefault="00E01867" w:rsidP="006854B4">
      <w:pPr>
        <w:numPr>
          <w:ilvl w:val="1"/>
          <w:numId w:val="5"/>
        </w:numPr>
        <w:ind w:left="709" w:hanging="284"/>
        <w:jc w:val="both"/>
        <w:rPr>
          <w:sz w:val="20"/>
          <w:szCs w:val="20"/>
        </w:rPr>
      </w:pPr>
      <w:r w:rsidRPr="00E01867">
        <w:rPr>
          <w:sz w:val="20"/>
          <w:szCs w:val="20"/>
        </w:rPr>
        <w:t xml:space="preserve">le lieu de naissance (de la commune pour les personnes nées en France ou du pays pour les autres), sous forme </w:t>
      </w:r>
      <w:r w:rsidRPr="00537C88">
        <w:rPr>
          <w:sz w:val="20"/>
          <w:szCs w:val="20"/>
        </w:rPr>
        <w:t>de code officiel géographique</w:t>
      </w:r>
      <w:r w:rsidRPr="00E01867">
        <w:rPr>
          <w:sz w:val="20"/>
          <w:szCs w:val="20"/>
        </w:rPr>
        <w:t xml:space="preserve"> (COG), communément appelé code INSEE.</w:t>
      </w:r>
    </w:p>
    <w:p w14:paraId="410093E2" w14:textId="7CE9F5C4" w:rsidR="00E01867" w:rsidRPr="00E01867" w:rsidRDefault="00E01867" w:rsidP="00E01867">
      <w:pPr>
        <w:jc w:val="both"/>
        <w:rPr>
          <w:sz w:val="20"/>
          <w:szCs w:val="20"/>
        </w:rPr>
      </w:pPr>
      <w:r w:rsidRPr="00E01867">
        <w:rPr>
          <w:sz w:val="20"/>
          <w:szCs w:val="20"/>
        </w:rPr>
        <w:t xml:space="preserve">L’INS peut être récupérée ou vérifiée à partir du téléservice INSi, mis en œuvre par </w:t>
      </w:r>
      <w:r w:rsidRPr="002E6884">
        <w:rPr>
          <w:sz w:val="20"/>
          <w:szCs w:val="20"/>
        </w:rPr>
        <w:t>le GIE Sesam Vitale</w:t>
      </w:r>
      <w:r w:rsidRPr="00E01867">
        <w:rPr>
          <w:sz w:val="20"/>
          <w:szCs w:val="20"/>
        </w:rPr>
        <w:t xml:space="preserve"> (Assurance maladie)</w:t>
      </w:r>
      <w:r w:rsidR="002F07AC">
        <w:rPr>
          <w:rStyle w:val="Appelnotedebasdep"/>
          <w:sz w:val="20"/>
          <w:szCs w:val="20"/>
        </w:rPr>
        <w:footnoteReference w:id="10"/>
      </w:r>
      <w:r w:rsidRPr="00E01867">
        <w:rPr>
          <w:sz w:val="20"/>
          <w:szCs w:val="20"/>
        </w:rPr>
        <w:t xml:space="preserve">. Il permet d’interroger les bases d’identité de référence. </w:t>
      </w:r>
    </w:p>
    <w:p w14:paraId="4E362B27" w14:textId="77777777" w:rsidR="00E01867" w:rsidRPr="00E01867" w:rsidRDefault="00E01867" w:rsidP="28BEF9BF">
      <w:pPr>
        <w:spacing w:after="0"/>
        <w:jc w:val="both"/>
        <w:rPr>
          <w:sz w:val="20"/>
          <w:szCs w:val="20"/>
        </w:rPr>
      </w:pPr>
      <w:r w:rsidRPr="28BEF9BF">
        <w:rPr>
          <w:sz w:val="20"/>
          <w:szCs w:val="20"/>
        </w:rPr>
        <w:t xml:space="preserve">Pour être utilisée en toute sécurité, cette INS doit être </w:t>
      </w:r>
      <w:r w:rsidRPr="28BEF9BF">
        <w:rPr>
          <w:i/>
          <w:iCs/>
          <w:sz w:val="20"/>
          <w:szCs w:val="20"/>
        </w:rPr>
        <w:t>qualifiée</w:t>
      </w:r>
      <w:r w:rsidRPr="28BEF9BF">
        <w:rPr>
          <w:sz w:val="20"/>
          <w:szCs w:val="20"/>
        </w:rPr>
        <w:t xml:space="preserve">. Cela signifie qu’elle doit répondre à deux conditions inclusives : </w:t>
      </w:r>
    </w:p>
    <w:p w14:paraId="0F226025" w14:textId="77777777" w:rsidR="00E01867" w:rsidRPr="00E01867" w:rsidRDefault="00E01867" w:rsidP="007A2C58">
      <w:pPr>
        <w:numPr>
          <w:ilvl w:val="0"/>
          <w:numId w:val="9"/>
        </w:numPr>
        <w:contextualSpacing/>
        <w:jc w:val="both"/>
        <w:rPr>
          <w:rFonts w:eastAsiaTheme="minorEastAsia"/>
          <w:sz w:val="20"/>
          <w:szCs w:val="20"/>
        </w:rPr>
      </w:pPr>
      <w:r w:rsidRPr="00E01867">
        <w:rPr>
          <w:sz w:val="20"/>
          <w:szCs w:val="20"/>
        </w:rPr>
        <w:t xml:space="preserve">être récupérée dans </w:t>
      </w:r>
      <w:r w:rsidRPr="007A2C58">
        <w:rPr>
          <w:sz w:val="20"/>
        </w:rPr>
        <w:t>le</w:t>
      </w:r>
      <w:r w:rsidRPr="00E01867">
        <w:rPr>
          <w:sz w:val="20"/>
          <w:szCs w:val="20"/>
        </w:rPr>
        <w:t xml:space="preserve"> DUI après utilisation du téléservice INSi ;</w:t>
      </w:r>
    </w:p>
    <w:p w14:paraId="29F33FA7" w14:textId="3D1B3D34" w:rsidR="0017734E" w:rsidRPr="006854B4" w:rsidRDefault="00E01867" w:rsidP="006854B4">
      <w:pPr>
        <w:numPr>
          <w:ilvl w:val="0"/>
          <w:numId w:val="9"/>
        </w:numPr>
        <w:ind w:left="357" w:hanging="357"/>
        <w:jc w:val="both"/>
        <w:rPr>
          <w:sz w:val="20"/>
          <w:szCs w:val="20"/>
        </w:rPr>
      </w:pPr>
      <w:r w:rsidRPr="28BEF9BF">
        <w:rPr>
          <w:sz w:val="20"/>
          <w:szCs w:val="20"/>
        </w:rPr>
        <w:t xml:space="preserve">avoir vérifié la </w:t>
      </w:r>
      <w:r w:rsidRPr="007A2C58">
        <w:rPr>
          <w:sz w:val="20"/>
        </w:rPr>
        <w:t>concordance</w:t>
      </w:r>
      <w:r w:rsidRPr="28BEF9BF">
        <w:rPr>
          <w:sz w:val="20"/>
          <w:szCs w:val="20"/>
        </w:rPr>
        <w:t xml:space="preserve"> des traits avec ceux d’un dispositif d’identification de haut niveau de confiance (carte nationale d’identité, passeport, titre de séjour</w:t>
      </w:r>
      <w:r w:rsidR="675879EA" w:rsidRPr="28BEF9BF">
        <w:rPr>
          <w:sz w:val="20"/>
          <w:szCs w:val="20"/>
        </w:rPr>
        <w:t>...</w:t>
      </w:r>
      <w:r w:rsidRPr="28BEF9BF">
        <w:rPr>
          <w:sz w:val="20"/>
          <w:szCs w:val="20"/>
        </w:rPr>
        <w:t>).</w:t>
      </w:r>
    </w:p>
    <w:p w14:paraId="67FFA999" w14:textId="7EB04A6D" w:rsidR="00E01867" w:rsidRPr="00E01867" w:rsidRDefault="00E01867" w:rsidP="00E01867">
      <w:pPr>
        <w:jc w:val="both"/>
        <w:rPr>
          <w:sz w:val="20"/>
          <w:szCs w:val="20"/>
        </w:rPr>
      </w:pPr>
      <w:r w:rsidRPr="00E01867">
        <w:rPr>
          <w:sz w:val="20"/>
          <w:szCs w:val="20"/>
        </w:rPr>
        <w:t xml:space="preserve">Le matricule INS et l’identifiant technique doivent être utilisés pour référencer les données de santé uniquement si l’identité est qualifiée, selon les modalités de qualification décrites dans le RNIV. </w:t>
      </w:r>
    </w:p>
    <w:p w14:paraId="79642011" w14:textId="5706125F" w:rsidR="00C01F6C" w:rsidRDefault="00C01F6C" w:rsidP="00C01F6C">
      <w:pPr>
        <w:jc w:val="both"/>
        <w:rPr>
          <w:rFonts w:asciiTheme="majorHAnsi" w:hAnsiTheme="majorHAnsi" w:cstheme="majorHAnsi"/>
          <w:sz w:val="20"/>
          <w:szCs w:val="20"/>
        </w:rPr>
      </w:pPr>
      <w:bookmarkStart w:id="4" w:name="_Toc89358451"/>
    </w:p>
    <w:p w14:paraId="1EFB9F62" w14:textId="048368D8" w:rsidR="00E00697" w:rsidRPr="00933583" w:rsidRDefault="00A511B7" w:rsidP="00A511B7">
      <w:pPr>
        <w:pStyle w:val="Titre1"/>
        <w:numPr>
          <w:ilvl w:val="0"/>
          <w:numId w:val="20"/>
        </w:numPr>
      </w:pPr>
      <w:r w:rsidRPr="00933583">
        <w:t>Des risques avérés pour la qualité et la sécurité des parcours</w:t>
      </w:r>
    </w:p>
    <w:p w14:paraId="193ED980" w14:textId="614D20EF" w:rsidR="00C01F6C" w:rsidRPr="00C01F6C" w:rsidRDefault="00C01F6C" w:rsidP="00C01F6C">
      <w:pPr>
        <w:jc w:val="both"/>
        <w:rPr>
          <w:rFonts w:asciiTheme="majorHAnsi" w:hAnsiTheme="majorHAnsi" w:cstheme="majorHAnsi"/>
          <w:sz w:val="20"/>
          <w:szCs w:val="20"/>
        </w:rPr>
      </w:pPr>
      <w:r w:rsidRPr="00C01F6C">
        <w:rPr>
          <w:rFonts w:asciiTheme="majorHAnsi" w:hAnsiTheme="majorHAnsi" w:cstheme="majorHAnsi"/>
          <w:sz w:val="20"/>
          <w:szCs w:val="20"/>
        </w:rPr>
        <w:t>Des événements indésirables en lien avec l’identification se produisent quotidiennement dans le secteur de la santé. Les erreurs sont, la plupart du temps, rattrapées par la vigilance des professionnels ou sans répercussion pour l’usager. Leur recensement comme leur médiatisation concernent principalement les plus graves.</w:t>
      </w:r>
    </w:p>
    <w:p w14:paraId="1B2AD480" w14:textId="77777777" w:rsidR="00C01F6C" w:rsidRPr="00706343" w:rsidRDefault="00C01F6C" w:rsidP="00706343">
      <w:pPr>
        <w:pStyle w:val="Titre2"/>
      </w:pPr>
      <w:bookmarkStart w:id="5" w:name="_Toc85622602"/>
      <w:r w:rsidRPr="00706343">
        <w:t>La création de doublons de dossiers</w:t>
      </w:r>
      <w:bookmarkEnd w:id="5"/>
    </w:p>
    <w:p w14:paraId="5526F389" w14:textId="77777777" w:rsidR="00C01F6C" w:rsidRPr="00C01F6C" w:rsidRDefault="00C01F6C" w:rsidP="00C01F6C">
      <w:pPr>
        <w:keepNext/>
        <w:jc w:val="both"/>
        <w:rPr>
          <w:rFonts w:asciiTheme="majorHAnsi" w:hAnsiTheme="majorHAnsi" w:cstheme="majorHAnsi"/>
          <w:sz w:val="20"/>
          <w:szCs w:val="20"/>
        </w:rPr>
      </w:pPr>
      <w:r w:rsidRPr="00C01F6C">
        <w:rPr>
          <w:rFonts w:asciiTheme="majorHAnsi" w:hAnsiTheme="majorHAnsi" w:cstheme="majorHAnsi"/>
          <w:noProof/>
          <w:sz w:val="20"/>
          <w:szCs w:val="20"/>
        </w:rPr>
        <w:drawing>
          <wp:anchor distT="0" distB="0" distL="114300" distR="114300" simplePos="0" relativeHeight="251658240" behindDoc="0" locked="0" layoutInCell="1" allowOverlap="1" wp14:anchorId="3C4EA1CC" wp14:editId="1BC448F3">
            <wp:simplePos x="0" y="0"/>
            <wp:positionH relativeFrom="margin">
              <wp:posOffset>2919730</wp:posOffset>
            </wp:positionH>
            <wp:positionV relativeFrom="paragraph">
              <wp:posOffset>12700</wp:posOffset>
            </wp:positionV>
            <wp:extent cx="2893060" cy="2076450"/>
            <wp:effectExtent l="0" t="0" r="2540" b="0"/>
            <wp:wrapSquare wrapText="bothSides"/>
            <wp:docPr id="733174480" name="Picture 733174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3174480"/>
                    <pic:cNvPicPr/>
                  </pic:nvPicPr>
                  <pic:blipFill>
                    <a:blip r:embed="rId11">
                      <a:extLst>
                        <a:ext uri="{28A0092B-C50C-407E-A947-70E740481C1C}">
                          <a14:useLocalDpi xmlns:a14="http://schemas.microsoft.com/office/drawing/2010/main" val="0"/>
                        </a:ext>
                      </a:extLst>
                    </a:blip>
                    <a:srcRect r="52805"/>
                    <a:stretch>
                      <a:fillRect/>
                    </a:stretch>
                  </pic:blipFill>
                  <pic:spPr>
                    <a:xfrm>
                      <a:off x="0" y="0"/>
                      <a:ext cx="2893060" cy="2076450"/>
                    </a:xfrm>
                    <a:prstGeom prst="rect">
                      <a:avLst/>
                    </a:prstGeom>
                  </pic:spPr>
                </pic:pic>
              </a:graphicData>
            </a:graphic>
            <wp14:sizeRelH relativeFrom="margin">
              <wp14:pctWidth>0</wp14:pctWidth>
            </wp14:sizeRelH>
            <wp14:sizeRelV relativeFrom="margin">
              <wp14:pctHeight>0</wp14:pctHeight>
            </wp14:sizeRelV>
          </wp:anchor>
        </w:drawing>
      </w:r>
      <w:r w:rsidRPr="00C01F6C">
        <w:rPr>
          <w:rFonts w:asciiTheme="majorHAnsi" w:hAnsiTheme="majorHAnsi" w:cstheme="majorHAnsi"/>
          <w:b/>
          <w:bCs/>
          <w:sz w:val="20"/>
          <w:szCs w:val="20"/>
        </w:rPr>
        <w:t>Les erreurs liées à l’identification primaire</w:t>
      </w:r>
      <w:r w:rsidRPr="00C01F6C">
        <w:rPr>
          <w:rFonts w:asciiTheme="majorHAnsi" w:hAnsiTheme="majorHAnsi" w:cstheme="majorHAnsi"/>
          <w:sz w:val="20"/>
          <w:szCs w:val="20"/>
        </w:rPr>
        <w:t xml:space="preserve"> concernent principalement la création de </w:t>
      </w:r>
      <w:r w:rsidRPr="00C01F6C">
        <w:rPr>
          <w:rFonts w:asciiTheme="majorHAnsi" w:hAnsiTheme="majorHAnsi" w:cstheme="majorHAnsi"/>
          <w:i/>
          <w:iCs/>
          <w:sz w:val="20"/>
          <w:szCs w:val="20"/>
        </w:rPr>
        <w:t>doublons de dossiers pour un même usager.</w:t>
      </w:r>
    </w:p>
    <w:p w14:paraId="5259C215" w14:textId="10246EF9" w:rsidR="00C01F6C" w:rsidRDefault="00C01F6C" w:rsidP="00C01F6C">
      <w:pPr>
        <w:spacing w:after="0" w:line="240" w:lineRule="auto"/>
        <w:jc w:val="both"/>
        <w:rPr>
          <w:rFonts w:asciiTheme="majorHAnsi" w:hAnsiTheme="majorHAnsi" w:cstheme="majorHAnsi"/>
          <w:sz w:val="20"/>
          <w:szCs w:val="20"/>
        </w:rPr>
      </w:pPr>
      <w:r w:rsidRPr="00C01F6C">
        <w:rPr>
          <w:rFonts w:asciiTheme="majorHAnsi" w:hAnsiTheme="majorHAnsi" w:cstheme="majorHAnsi"/>
          <w:sz w:val="20"/>
          <w:szCs w:val="20"/>
        </w:rPr>
        <w:t>Elles correspondent à la création de plusieurs identités numériques pour un même usager dans un référentiel d’identités. Ces doublons sont à l’origine de la dispersion des données de santé de l’usager dans plusieurs dossiers, pouvant amener à une erreur d</w:t>
      </w:r>
      <w:r w:rsidR="006D0DB6">
        <w:rPr>
          <w:rFonts w:asciiTheme="majorHAnsi" w:hAnsiTheme="majorHAnsi" w:cstheme="majorHAnsi"/>
          <w:sz w:val="20"/>
          <w:szCs w:val="20"/>
        </w:rPr>
        <w:t xml:space="preserve">ans l’accompagnement de l’usager </w:t>
      </w:r>
      <w:r w:rsidRPr="00C01F6C">
        <w:rPr>
          <w:rFonts w:asciiTheme="majorHAnsi" w:hAnsiTheme="majorHAnsi" w:cstheme="majorHAnsi"/>
          <w:sz w:val="20"/>
          <w:szCs w:val="20"/>
        </w:rPr>
        <w:t>par défaut d’information.</w:t>
      </w:r>
    </w:p>
    <w:p w14:paraId="0B9B6324" w14:textId="77777777" w:rsidR="006D0DB6" w:rsidRDefault="006D0DB6" w:rsidP="00C01F6C">
      <w:pPr>
        <w:spacing w:after="0" w:line="240" w:lineRule="auto"/>
        <w:jc w:val="both"/>
        <w:rPr>
          <w:rFonts w:asciiTheme="majorHAnsi" w:hAnsiTheme="majorHAnsi" w:cstheme="majorHAnsi"/>
          <w:sz w:val="20"/>
          <w:szCs w:val="20"/>
        </w:rPr>
      </w:pPr>
    </w:p>
    <w:p w14:paraId="5062A305" w14:textId="77777777" w:rsidR="006D0DB6" w:rsidRPr="00C01F6C" w:rsidRDefault="006D0DB6" w:rsidP="00C01F6C">
      <w:pPr>
        <w:spacing w:after="0" w:line="240" w:lineRule="auto"/>
        <w:jc w:val="both"/>
        <w:rPr>
          <w:rFonts w:asciiTheme="majorHAnsi" w:hAnsiTheme="majorHAnsi" w:cstheme="majorHAnsi"/>
          <w:sz w:val="20"/>
          <w:szCs w:val="20"/>
        </w:rPr>
      </w:pPr>
    </w:p>
    <w:p w14:paraId="58778E5F" w14:textId="77777777" w:rsidR="00C01F6C" w:rsidRPr="00706343" w:rsidRDefault="00C01F6C" w:rsidP="00706343">
      <w:pPr>
        <w:pStyle w:val="Titre2"/>
      </w:pPr>
      <w:bookmarkStart w:id="6" w:name="_Toc85622603"/>
      <w:r w:rsidRPr="00706343">
        <w:t>La collision de données</w:t>
      </w:r>
      <w:bookmarkEnd w:id="6"/>
    </w:p>
    <w:p w14:paraId="7D9DBE2E" w14:textId="542F5FD4" w:rsidR="00C01F6C" w:rsidRPr="00C01F6C" w:rsidRDefault="00C01F6C" w:rsidP="00C01F6C">
      <w:pPr>
        <w:pStyle w:val="Paragraphedeliste"/>
        <w:ind w:left="0"/>
        <w:jc w:val="both"/>
        <w:rPr>
          <w:rFonts w:asciiTheme="majorHAnsi" w:hAnsiTheme="majorHAnsi" w:cstheme="majorHAnsi"/>
          <w:sz w:val="20"/>
          <w:szCs w:val="20"/>
        </w:rPr>
      </w:pPr>
      <w:r w:rsidRPr="00C01F6C">
        <w:rPr>
          <w:rFonts w:asciiTheme="majorHAnsi" w:hAnsiTheme="majorHAnsi" w:cstheme="majorHAnsi"/>
          <w:noProof/>
          <w:sz w:val="20"/>
          <w:szCs w:val="20"/>
        </w:rPr>
        <w:drawing>
          <wp:anchor distT="0" distB="0" distL="114300" distR="114300" simplePos="0" relativeHeight="251658241" behindDoc="0" locked="0" layoutInCell="1" allowOverlap="1" wp14:anchorId="6F47BCE8" wp14:editId="2E2705C5">
            <wp:simplePos x="0" y="0"/>
            <wp:positionH relativeFrom="column">
              <wp:posOffset>2954655</wp:posOffset>
            </wp:positionH>
            <wp:positionV relativeFrom="paragraph">
              <wp:posOffset>13970</wp:posOffset>
            </wp:positionV>
            <wp:extent cx="2992755" cy="1943100"/>
            <wp:effectExtent l="0" t="0" r="0" b="0"/>
            <wp:wrapSquare wrapText="bothSides"/>
            <wp:docPr id="2062905414" name="Picture 2062905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2905414"/>
                    <pic:cNvPicPr/>
                  </pic:nvPicPr>
                  <pic:blipFill>
                    <a:blip r:embed="rId11">
                      <a:extLst>
                        <a:ext uri="{28A0092B-C50C-407E-A947-70E740481C1C}">
                          <a14:useLocalDpi xmlns:a14="http://schemas.microsoft.com/office/drawing/2010/main" val="0"/>
                        </a:ext>
                      </a:extLst>
                    </a:blip>
                    <a:srcRect l="48333"/>
                    <a:stretch>
                      <a:fillRect/>
                    </a:stretch>
                  </pic:blipFill>
                  <pic:spPr>
                    <a:xfrm>
                      <a:off x="0" y="0"/>
                      <a:ext cx="2992755" cy="1943100"/>
                    </a:xfrm>
                    <a:prstGeom prst="rect">
                      <a:avLst/>
                    </a:prstGeom>
                  </pic:spPr>
                </pic:pic>
              </a:graphicData>
            </a:graphic>
            <wp14:sizeRelH relativeFrom="margin">
              <wp14:pctWidth>0</wp14:pctWidth>
            </wp14:sizeRelH>
            <wp14:sizeRelV relativeFrom="margin">
              <wp14:pctHeight>0</wp14:pctHeight>
            </wp14:sizeRelV>
          </wp:anchor>
        </w:drawing>
      </w:r>
      <w:r w:rsidRPr="00C01F6C">
        <w:rPr>
          <w:rFonts w:asciiTheme="majorHAnsi" w:hAnsiTheme="majorHAnsi" w:cstheme="majorHAnsi"/>
          <w:sz w:val="20"/>
          <w:szCs w:val="20"/>
        </w:rPr>
        <w:t xml:space="preserve">La survenue d’une </w:t>
      </w:r>
      <w:r w:rsidRPr="00C01F6C">
        <w:rPr>
          <w:rFonts w:asciiTheme="majorHAnsi" w:hAnsiTheme="majorHAnsi" w:cstheme="majorHAnsi"/>
          <w:i/>
          <w:iCs/>
          <w:sz w:val="20"/>
          <w:szCs w:val="20"/>
        </w:rPr>
        <w:t>collision de données</w:t>
      </w:r>
      <w:r w:rsidRPr="00C01F6C">
        <w:rPr>
          <w:rFonts w:asciiTheme="majorHAnsi" w:hAnsiTheme="majorHAnsi" w:cstheme="majorHAnsi"/>
          <w:sz w:val="20"/>
          <w:szCs w:val="20"/>
        </w:rPr>
        <w:t xml:space="preserve">, bien que plus rare, est redoutée par les établissements. </w:t>
      </w:r>
    </w:p>
    <w:p w14:paraId="2795EB97" w14:textId="77777777" w:rsidR="00C01F6C" w:rsidRPr="00C01F6C" w:rsidRDefault="00C01F6C" w:rsidP="00C01F6C">
      <w:pPr>
        <w:jc w:val="both"/>
        <w:rPr>
          <w:rFonts w:asciiTheme="majorHAnsi" w:hAnsiTheme="majorHAnsi" w:cstheme="majorHAnsi"/>
          <w:sz w:val="20"/>
          <w:szCs w:val="20"/>
        </w:rPr>
      </w:pPr>
      <w:r w:rsidRPr="00C01F6C">
        <w:rPr>
          <w:rFonts w:asciiTheme="majorHAnsi" w:hAnsiTheme="majorHAnsi" w:cstheme="majorHAnsi"/>
          <w:sz w:val="20"/>
          <w:szCs w:val="20"/>
        </w:rPr>
        <w:t xml:space="preserve">Elle consiste à enregistrer des données de deux usagers différents sous une même identité numérique. Des collisions peuvent survenir : </w:t>
      </w:r>
    </w:p>
    <w:p w14:paraId="3D7BC384" w14:textId="77777777" w:rsidR="00C01F6C" w:rsidRPr="00C01F6C" w:rsidRDefault="00C01F6C" w:rsidP="00624C58">
      <w:pPr>
        <w:pStyle w:val="Paragraphedeliste"/>
        <w:numPr>
          <w:ilvl w:val="0"/>
          <w:numId w:val="23"/>
        </w:numPr>
        <w:spacing w:after="60" w:line="259" w:lineRule="auto"/>
        <w:jc w:val="both"/>
        <w:rPr>
          <w:rFonts w:asciiTheme="majorHAnsi" w:eastAsiaTheme="minorEastAsia" w:hAnsiTheme="majorHAnsi" w:cstheme="majorHAnsi"/>
          <w:sz w:val="20"/>
          <w:szCs w:val="20"/>
        </w:rPr>
      </w:pPr>
      <w:r w:rsidRPr="00C01F6C">
        <w:rPr>
          <w:rFonts w:asciiTheme="majorHAnsi" w:hAnsiTheme="majorHAnsi" w:cstheme="majorHAnsi"/>
          <w:sz w:val="20"/>
          <w:szCs w:val="20"/>
        </w:rPr>
        <w:t>du fait de l’erreur de sélection d’un dossier d’usager, liée à une pratique non conforme de recherche d’antériorité, notamment avec identités approchantes (par exemple, une date de naissance absente des critères de recherche) ;</w:t>
      </w:r>
    </w:p>
    <w:p w14:paraId="5008799E" w14:textId="77777777" w:rsidR="00C01F6C" w:rsidRPr="00C01F6C" w:rsidRDefault="00C01F6C" w:rsidP="00624C58">
      <w:pPr>
        <w:pStyle w:val="Paragraphedeliste"/>
        <w:numPr>
          <w:ilvl w:val="0"/>
          <w:numId w:val="23"/>
        </w:numPr>
        <w:spacing w:after="60" w:line="259" w:lineRule="auto"/>
        <w:jc w:val="both"/>
        <w:rPr>
          <w:rFonts w:asciiTheme="majorHAnsi" w:eastAsiaTheme="minorEastAsia" w:hAnsiTheme="majorHAnsi" w:cstheme="majorHAnsi"/>
          <w:sz w:val="20"/>
          <w:szCs w:val="20"/>
        </w:rPr>
      </w:pPr>
      <w:r w:rsidRPr="00C01F6C">
        <w:rPr>
          <w:rFonts w:asciiTheme="majorHAnsi" w:hAnsiTheme="majorHAnsi" w:cstheme="majorHAnsi"/>
          <w:sz w:val="20"/>
          <w:szCs w:val="20"/>
        </w:rPr>
        <w:t xml:space="preserve">à l’occasion d’une erreur de fusion concernant des dossiers d’usagers d’identités très ressemblantes ; </w:t>
      </w:r>
    </w:p>
    <w:p w14:paraId="702E73FE" w14:textId="77777777" w:rsidR="00C01F6C" w:rsidRPr="00C01F6C" w:rsidRDefault="00C01F6C" w:rsidP="00624C58">
      <w:pPr>
        <w:pStyle w:val="Paragraphedeliste"/>
        <w:numPr>
          <w:ilvl w:val="0"/>
          <w:numId w:val="23"/>
        </w:numPr>
        <w:spacing w:after="60" w:line="259" w:lineRule="auto"/>
        <w:jc w:val="both"/>
        <w:rPr>
          <w:rFonts w:asciiTheme="majorHAnsi" w:eastAsiaTheme="minorEastAsia" w:hAnsiTheme="majorHAnsi" w:cstheme="majorHAnsi"/>
          <w:sz w:val="20"/>
          <w:szCs w:val="20"/>
        </w:rPr>
      </w:pPr>
      <w:r w:rsidRPr="00C01F6C">
        <w:rPr>
          <w:rFonts w:asciiTheme="majorHAnsi" w:hAnsiTheme="majorHAnsi" w:cstheme="majorHAnsi"/>
          <w:sz w:val="20"/>
          <w:szCs w:val="20"/>
        </w:rPr>
        <w:t>lors du classement d’un document ou l’enregistrement d’une donnée relative à la prise en charge de l’usager dans un dossier qui n’est pas le sien ;</w:t>
      </w:r>
    </w:p>
    <w:p w14:paraId="4124D00F" w14:textId="77777777" w:rsidR="00C01F6C" w:rsidRPr="00C01F6C" w:rsidRDefault="00C01F6C" w:rsidP="00624C58">
      <w:pPr>
        <w:pStyle w:val="Paragraphedeliste"/>
        <w:numPr>
          <w:ilvl w:val="0"/>
          <w:numId w:val="23"/>
        </w:numPr>
        <w:spacing w:after="60" w:line="259" w:lineRule="auto"/>
        <w:jc w:val="both"/>
        <w:rPr>
          <w:rFonts w:asciiTheme="majorHAnsi" w:eastAsiaTheme="minorEastAsia" w:hAnsiTheme="majorHAnsi" w:cstheme="majorHAnsi"/>
          <w:sz w:val="20"/>
          <w:szCs w:val="20"/>
        </w:rPr>
      </w:pPr>
      <w:r w:rsidRPr="00C01F6C">
        <w:rPr>
          <w:rFonts w:asciiTheme="majorHAnsi" w:hAnsiTheme="majorHAnsi" w:cstheme="majorHAnsi"/>
          <w:sz w:val="20"/>
          <w:szCs w:val="20"/>
        </w:rPr>
        <w:t>en cas d’utilisation frauduleuse par un autre usager de l’identité d’un patient déjà connu dans la structure.</w:t>
      </w:r>
    </w:p>
    <w:p w14:paraId="561A2FDE" w14:textId="364F5ECA" w:rsidR="00E01867" w:rsidRPr="009C0DCB" w:rsidRDefault="00E01867" w:rsidP="00624C58">
      <w:pPr>
        <w:pStyle w:val="Titre1"/>
        <w:numPr>
          <w:ilvl w:val="0"/>
          <w:numId w:val="20"/>
        </w:numPr>
      </w:pPr>
      <w:r w:rsidRPr="28BEF9BF">
        <w:t>Les enjeux de la mise en œuvre de bonnes pratiques d’identification</w:t>
      </w:r>
      <w:bookmarkEnd w:id="4"/>
    </w:p>
    <w:p w14:paraId="45AB36F5" w14:textId="77777777" w:rsidR="00E01867" w:rsidRPr="00E01867" w:rsidRDefault="00E01867" w:rsidP="007A2C58">
      <w:pPr>
        <w:spacing w:after="0"/>
        <w:jc w:val="both"/>
        <w:rPr>
          <w:sz w:val="20"/>
        </w:rPr>
      </w:pPr>
      <w:r w:rsidRPr="00E01867">
        <w:rPr>
          <w:sz w:val="20"/>
        </w:rPr>
        <w:t xml:space="preserve">Les structures médico-sociales sont confrontées à de nombreux défis et contraintes : </w:t>
      </w:r>
    </w:p>
    <w:p w14:paraId="546830A4" w14:textId="77777777" w:rsidR="00E01867" w:rsidRPr="00E01867" w:rsidRDefault="00E01867" w:rsidP="00E01867">
      <w:pPr>
        <w:numPr>
          <w:ilvl w:val="0"/>
          <w:numId w:val="10"/>
        </w:numPr>
        <w:contextualSpacing/>
        <w:jc w:val="both"/>
        <w:rPr>
          <w:sz w:val="20"/>
        </w:rPr>
      </w:pPr>
      <w:r w:rsidRPr="00E01867">
        <w:rPr>
          <w:sz w:val="20"/>
        </w:rPr>
        <w:t xml:space="preserve">le turnover des professionnels et les problématiques de recrutement ; </w:t>
      </w:r>
    </w:p>
    <w:p w14:paraId="3C1EE30A" w14:textId="77777777" w:rsidR="00E01867" w:rsidRPr="00E01867" w:rsidRDefault="00E01867" w:rsidP="56A0AE3C">
      <w:pPr>
        <w:numPr>
          <w:ilvl w:val="0"/>
          <w:numId w:val="10"/>
        </w:numPr>
        <w:contextualSpacing/>
        <w:jc w:val="both"/>
        <w:rPr>
          <w:sz w:val="20"/>
          <w:szCs w:val="20"/>
        </w:rPr>
      </w:pPr>
      <w:r w:rsidRPr="56A0AE3C">
        <w:rPr>
          <w:sz w:val="20"/>
          <w:szCs w:val="20"/>
        </w:rPr>
        <w:t xml:space="preserve">l’exigence de traçabilité et de </w:t>
      </w:r>
      <w:r w:rsidRPr="56A0AE3C">
        <w:rPr>
          <w:i/>
          <w:iCs/>
          <w:sz w:val="20"/>
          <w:szCs w:val="20"/>
        </w:rPr>
        <w:t>reporting </w:t>
      </w:r>
      <w:r w:rsidRPr="56A0AE3C">
        <w:rPr>
          <w:sz w:val="20"/>
          <w:szCs w:val="20"/>
        </w:rPr>
        <w:t xml:space="preserve">; </w:t>
      </w:r>
    </w:p>
    <w:p w14:paraId="07F8B9D9" w14:textId="77777777" w:rsidR="00E01867" w:rsidRPr="00E01867" w:rsidRDefault="00E01867" w:rsidP="00E01867">
      <w:pPr>
        <w:numPr>
          <w:ilvl w:val="0"/>
          <w:numId w:val="10"/>
        </w:numPr>
        <w:contextualSpacing/>
        <w:jc w:val="both"/>
        <w:rPr>
          <w:sz w:val="20"/>
        </w:rPr>
      </w:pPr>
      <w:r w:rsidRPr="00E01867">
        <w:rPr>
          <w:sz w:val="20"/>
        </w:rPr>
        <w:t>la transformation de l’offre avec la fluidification des parcours et l'inclusion en milieu ordinaire.</w:t>
      </w:r>
    </w:p>
    <w:p w14:paraId="6BFE6AAF" w14:textId="2F0E5FE6" w:rsidR="00E01867" w:rsidRPr="00E01867" w:rsidRDefault="00E01867" w:rsidP="00857D87">
      <w:pPr>
        <w:numPr>
          <w:ilvl w:val="0"/>
          <w:numId w:val="10"/>
        </w:numPr>
        <w:ind w:left="714" w:hanging="357"/>
        <w:jc w:val="both"/>
        <w:rPr>
          <w:sz w:val="20"/>
        </w:rPr>
      </w:pPr>
      <w:r w:rsidRPr="00E01867">
        <w:rPr>
          <w:sz w:val="20"/>
        </w:rPr>
        <w:t>l’engagement des structures dans les démarches qualité réglementaires</w:t>
      </w:r>
      <w:r w:rsidR="00087DB0">
        <w:rPr>
          <w:sz w:val="20"/>
        </w:rPr>
        <w:t>.</w:t>
      </w:r>
      <w:r w:rsidRPr="00E01867">
        <w:rPr>
          <w:sz w:val="20"/>
          <w:vertAlign w:val="superscript"/>
        </w:rPr>
        <w:footnoteReference w:id="11"/>
      </w:r>
    </w:p>
    <w:p w14:paraId="1A4FA5E6" w14:textId="3BD0DF70" w:rsidR="00E01867" w:rsidRPr="00E01867" w:rsidRDefault="00E01867" w:rsidP="00E01867">
      <w:pPr>
        <w:jc w:val="both"/>
        <w:rPr>
          <w:sz w:val="20"/>
        </w:rPr>
      </w:pPr>
      <w:r w:rsidRPr="00E01867">
        <w:rPr>
          <w:sz w:val="20"/>
        </w:rPr>
        <w:lastRenderedPageBreak/>
        <w:t xml:space="preserve">La multiplication des acteurs dans les accompagnements impose une meilleure coordination autour de l’usager. </w:t>
      </w:r>
    </w:p>
    <w:p w14:paraId="7C9C38CD" w14:textId="77777777" w:rsidR="00E01867" w:rsidRPr="00E01867" w:rsidRDefault="00E01867" w:rsidP="00E01867">
      <w:pPr>
        <w:jc w:val="both"/>
        <w:rPr>
          <w:sz w:val="20"/>
        </w:rPr>
      </w:pPr>
      <w:r w:rsidRPr="00E01867">
        <w:rPr>
          <w:sz w:val="20"/>
        </w:rPr>
        <w:t xml:space="preserve">Le développement des bonnes pratiques d’identification permet ainsi </w:t>
      </w:r>
      <w:r w:rsidRPr="00E01867">
        <w:rPr>
          <w:b/>
          <w:bCs/>
          <w:sz w:val="20"/>
        </w:rPr>
        <w:t xml:space="preserve">de positionner l’accompagnement médico-social dans un écosystème de santé élargi </w:t>
      </w:r>
      <w:r w:rsidRPr="00E01867">
        <w:rPr>
          <w:sz w:val="20"/>
        </w:rPr>
        <w:t>(médico-social, social, sanitaire, soins de ville…). La mise en œuvre de l’INS permet de sécuriser les échanges de données de santé, de fluidifier les parcours et ainsi d’améliorer la qualité globale des soins et des accompagnements.</w:t>
      </w:r>
    </w:p>
    <w:p w14:paraId="103BFEEC" w14:textId="77777777" w:rsidR="00E01867" w:rsidRPr="00E01867" w:rsidRDefault="00E01867" w:rsidP="00857D87">
      <w:pPr>
        <w:spacing w:after="0"/>
        <w:jc w:val="both"/>
        <w:rPr>
          <w:sz w:val="20"/>
        </w:rPr>
      </w:pPr>
      <w:r w:rsidRPr="00E01867">
        <w:rPr>
          <w:sz w:val="20"/>
        </w:rPr>
        <w:t>Ceci répond à un double enjeu :</w:t>
      </w:r>
    </w:p>
    <w:p w14:paraId="68AF4D51" w14:textId="77777777" w:rsidR="00E01867" w:rsidRPr="00E01867" w:rsidRDefault="00E01867" w:rsidP="00E01867">
      <w:pPr>
        <w:numPr>
          <w:ilvl w:val="0"/>
          <w:numId w:val="8"/>
        </w:numPr>
        <w:contextualSpacing/>
        <w:jc w:val="both"/>
        <w:rPr>
          <w:rFonts w:eastAsiaTheme="minorEastAsia"/>
          <w:sz w:val="20"/>
          <w:szCs w:val="20"/>
        </w:rPr>
      </w:pPr>
      <w:r w:rsidRPr="00E01867">
        <w:rPr>
          <w:b/>
          <w:bCs/>
          <w:sz w:val="20"/>
        </w:rPr>
        <w:t>Assurer la bonne prestation à la bonne personne</w:t>
      </w:r>
      <w:r w:rsidRPr="00E01867">
        <w:rPr>
          <w:sz w:val="20"/>
        </w:rPr>
        <w:t xml:space="preserve"> tout au long de son parcours dans les établissements et services médico sociaux ;</w:t>
      </w:r>
    </w:p>
    <w:p w14:paraId="2836155D" w14:textId="77777777" w:rsidR="00E01867" w:rsidRPr="00E01867" w:rsidRDefault="00E01867" w:rsidP="00E01867">
      <w:pPr>
        <w:numPr>
          <w:ilvl w:val="0"/>
          <w:numId w:val="8"/>
        </w:numPr>
        <w:contextualSpacing/>
        <w:jc w:val="both"/>
        <w:rPr>
          <w:rFonts w:eastAsiaTheme="minorEastAsia"/>
          <w:sz w:val="20"/>
          <w:szCs w:val="20"/>
        </w:rPr>
      </w:pPr>
      <w:r w:rsidRPr="00E01867">
        <w:rPr>
          <w:sz w:val="20"/>
        </w:rPr>
        <w:t xml:space="preserve">Être </w:t>
      </w:r>
      <w:r w:rsidRPr="00E01867">
        <w:rPr>
          <w:b/>
          <w:bCs/>
          <w:sz w:val="20"/>
        </w:rPr>
        <w:t>en conformité</w:t>
      </w:r>
      <w:r w:rsidRPr="00E01867">
        <w:rPr>
          <w:sz w:val="20"/>
        </w:rPr>
        <w:t xml:space="preserve"> avec la règlementation.</w:t>
      </w:r>
    </w:p>
    <w:p w14:paraId="3DDE4AB5" w14:textId="694DA9CC" w:rsidR="00E01867" w:rsidRDefault="00E01867" w:rsidP="00E01867">
      <w:pPr>
        <w:jc w:val="both"/>
        <w:rPr>
          <w:sz w:val="20"/>
          <w:szCs w:val="20"/>
        </w:rPr>
      </w:pPr>
    </w:p>
    <w:p w14:paraId="1ADCC229" w14:textId="2A5C1165" w:rsidR="00180523" w:rsidRDefault="00180523" w:rsidP="00180523">
      <w:pPr>
        <w:pStyle w:val="Titre1"/>
        <w:numPr>
          <w:ilvl w:val="0"/>
          <w:numId w:val="20"/>
        </w:numPr>
      </w:pPr>
      <w:r>
        <w:t>Glossaire</w:t>
      </w:r>
    </w:p>
    <w:tbl>
      <w:tblPr>
        <w:tblW w:w="8380" w:type="dxa"/>
        <w:tblCellMar>
          <w:left w:w="70" w:type="dxa"/>
          <w:right w:w="70" w:type="dxa"/>
        </w:tblCellMar>
        <w:tblLook w:val="04A0" w:firstRow="1" w:lastRow="0" w:firstColumn="1" w:lastColumn="0" w:noHBand="0" w:noVBand="1"/>
      </w:tblPr>
      <w:tblGrid>
        <w:gridCol w:w="1200"/>
        <w:gridCol w:w="7180"/>
      </w:tblGrid>
      <w:tr w:rsidR="00210278" w:rsidRPr="00210278" w14:paraId="6216BD51" w14:textId="77777777" w:rsidTr="00210278">
        <w:trPr>
          <w:trHeight w:val="300"/>
        </w:trPr>
        <w:tc>
          <w:tcPr>
            <w:tcW w:w="1200" w:type="dxa"/>
            <w:tcBorders>
              <w:top w:val="nil"/>
              <w:left w:val="nil"/>
              <w:bottom w:val="nil"/>
              <w:right w:val="nil"/>
            </w:tcBorders>
            <w:shd w:val="clear" w:color="auto" w:fill="auto"/>
            <w:noWrap/>
            <w:vAlign w:val="bottom"/>
            <w:hideMark/>
          </w:tcPr>
          <w:p w14:paraId="355B2C70"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COG</w:t>
            </w:r>
          </w:p>
        </w:tc>
        <w:tc>
          <w:tcPr>
            <w:tcW w:w="7180" w:type="dxa"/>
            <w:tcBorders>
              <w:top w:val="nil"/>
              <w:left w:val="nil"/>
              <w:bottom w:val="nil"/>
              <w:right w:val="nil"/>
            </w:tcBorders>
            <w:shd w:val="clear" w:color="auto" w:fill="auto"/>
            <w:noWrap/>
            <w:vAlign w:val="bottom"/>
            <w:hideMark/>
          </w:tcPr>
          <w:p w14:paraId="05C49863"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Code officiel géographique (INSEE)</w:t>
            </w:r>
          </w:p>
        </w:tc>
      </w:tr>
      <w:tr w:rsidR="00210278" w:rsidRPr="00210278" w14:paraId="0E7D0FA9" w14:textId="77777777" w:rsidTr="00210278">
        <w:trPr>
          <w:trHeight w:val="300"/>
        </w:trPr>
        <w:tc>
          <w:tcPr>
            <w:tcW w:w="1200" w:type="dxa"/>
            <w:tcBorders>
              <w:top w:val="nil"/>
              <w:left w:val="nil"/>
              <w:bottom w:val="nil"/>
              <w:right w:val="nil"/>
            </w:tcBorders>
            <w:shd w:val="clear" w:color="auto" w:fill="auto"/>
            <w:noWrap/>
            <w:vAlign w:val="bottom"/>
            <w:hideMark/>
          </w:tcPr>
          <w:p w14:paraId="1D69C4D7"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DUI</w:t>
            </w:r>
          </w:p>
        </w:tc>
        <w:tc>
          <w:tcPr>
            <w:tcW w:w="7180" w:type="dxa"/>
            <w:tcBorders>
              <w:top w:val="nil"/>
              <w:left w:val="nil"/>
              <w:bottom w:val="nil"/>
              <w:right w:val="nil"/>
            </w:tcBorders>
            <w:shd w:val="clear" w:color="auto" w:fill="auto"/>
            <w:noWrap/>
            <w:vAlign w:val="bottom"/>
            <w:hideMark/>
          </w:tcPr>
          <w:p w14:paraId="7DB11B9B"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 xml:space="preserve">Dossier usager Informatisé </w:t>
            </w:r>
          </w:p>
        </w:tc>
      </w:tr>
      <w:tr w:rsidR="00210278" w:rsidRPr="00210278" w14:paraId="45BDDDAD" w14:textId="77777777" w:rsidTr="00210278">
        <w:trPr>
          <w:trHeight w:val="300"/>
        </w:trPr>
        <w:tc>
          <w:tcPr>
            <w:tcW w:w="1200" w:type="dxa"/>
            <w:tcBorders>
              <w:top w:val="nil"/>
              <w:left w:val="nil"/>
              <w:bottom w:val="nil"/>
              <w:right w:val="nil"/>
            </w:tcBorders>
            <w:shd w:val="clear" w:color="auto" w:fill="auto"/>
            <w:noWrap/>
            <w:vAlign w:val="bottom"/>
            <w:hideMark/>
          </w:tcPr>
          <w:p w14:paraId="6ECE6DBB"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EIGS</w:t>
            </w:r>
          </w:p>
        </w:tc>
        <w:tc>
          <w:tcPr>
            <w:tcW w:w="7180" w:type="dxa"/>
            <w:tcBorders>
              <w:top w:val="nil"/>
              <w:left w:val="nil"/>
              <w:bottom w:val="nil"/>
              <w:right w:val="nil"/>
            </w:tcBorders>
            <w:shd w:val="clear" w:color="auto" w:fill="auto"/>
            <w:noWrap/>
            <w:vAlign w:val="bottom"/>
            <w:hideMark/>
          </w:tcPr>
          <w:p w14:paraId="005486A3"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 xml:space="preserve">Evénement Indésirable grave associé aux soins </w:t>
            </w:r>
          </w:p>
        </w:tc>
      </w:tr>
      <w:tr w:rsidR="00210278" w:rsidRPr="00210278" w14:paraId="3A061CC8" w14:textId="77777777" w:rsidTr="00210278">
        <w:trPr>
          <w:trHeight w:val="300"/>
        </w:trPr>
        <w:tc>
          <w:tcPr>
            <w:tcW w:w="1200" w:type="dxa"/>
            <w:tcBorders>
              <w:top w:val="nil"/>
              <w:left w:val="nil"/>
              <w:bottom w:val="nil"/>
              <w:right w:val="nil"/>
            </w:tcBorders>
            <w:shd w:val="clear" w:color="auto" w:fill="auto"/>
            <w:noWrap/>
            <w:vAlign w:val="bottom"/>
            <w:hideMark/>
          </w:tcPr>
          <w:p w14:paraId="1FEE141C"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INS</w:t>
            </w:r>
          </w:p>
        </w:tc>
        <w:tc>
          <w:tcPr>
            <w:tcW w:w="7180" w:type="dxa"/>
            <w:tcBorders>
              <w:top w:val="nil"/>
              <w:left w:val="nil"/>
              <w:bottom w:val="nil"/>
              <w:right w:val="nil"/>
            </w:tcBorders>
            <w:shd w:val="clear" w:color="auto" w:fill="auto"/>
            <w:noWrap/>
            <w:vAlign w:val="bottom"/>
            <w:hideMark/>
          </w:tcPr>
          <w:p w14:paraId="0B864B5E"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 xml:space="preserve">Identité nationale de santé </w:t>
            </w:r>
          </w:p>
        </w:tc>
      </w:tr>
      <w:tr w:rsidR="00210278" w:rsidRPr="00210278" w14:paraId="4218AD45" w14:textId="77777777" w:rsidTr="00210278">
        <w:trPr>
          <w:trHeight w:val="300"/>
        </w:trPr>
        <w:tc>
          <w:tcPr>
            <w:tcW w:w="1200" w:type="dxa"/>
            <w:tcBorders>
              <w:top w:val="nil"/>
              <w:left w:val="nil"/>
              <w:bottom w:val="nil"/>
              <w:right w:val="nil"/>
            </w:tcBorders>
            <w:shd w:val="clear" w:color="auto" w:fill="auto"/>
            <w:noWrap/>
            <w:vAlign w:val="bottom"/>
            <w:hideMark/>
          </w:tcPr>
          <w:p w14:paraId="178AF103"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NIA</w:t>
            </w:r>
          </w:p>
        </w:tc>
        <w:tc>
          <w:tcPr>
            <w:tcW w:w="7180" w:type="dxa"/>
            <w:tcBorders>
              <w:top w:val="nil"/>
              <w:left w:val="nil"/>
              <w:bottom w:val="nil"/>
              <w:right w:val="nil"/>
            </w:tcBorders>
            <w:shd w:val="clear" w:color="auto" w:fill="auto"/>
            <w:noWrap/>
            <w:vAlign w:val="bottom"/>
            <w:hideMark/>
          </w:tcPr>
          <w:p w14:paraId="484CB716"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 xml:space="preserve">Numéro d’identification d’attente </w:t>
            </w:r>
          </w:p>
        </w:tc>
      </w:tr>
      <w:tr w:rsidR="00210278" w:rsidRPr="00210278" w14:paraId="0D59C96C" w14:textId="77777777" w:rsidTr="00210278">
        <w:trPr>
          <w:trHeight w:val="300"/>
        </w:trPr>
        <w:tc>
          <w:tcPr>
            <w:tcW w:w="1200" w:type="dxa"/>
            <w:tcBorders>
              <w:top w:val="nil"/>
              <w:left w:val="nil"/>
              <w:bottom w:val="nil"/>
              <w:right w:val="nil"/>
            </w:tcBorders>
            <w:shd w:val="clear" w:color="auto" w:fill="auto"/>
            <w:noWrap/>
            <w:vAlign w:val="bottom"/>
            <w:hideMark/>
          </w:tcPr>
          <w:p w14:paraId="47BC0795"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NIR</w:t>
            </w:r>
          </w:p>
        </w:tc>
        <w:tc>
          <w:tcPr>
            <w:tcW w:w="7180" w:type="dxa"/>
            <w:tcBorders>
              <w:top w:val="nil"/>
              <w:left w:val="nil"/>
              <w:bottom w:val="nil"/>
              <w:right w:val="nil"/>
            </w:tcBorders>
            <w:shd w:val="clear" w:color="auto" w:fill="auto"/>
            <w:noWrap/>
            <w:vAlign w:val="bottom"/>
            <w:hideMark/>
          </w:tcPr>
          <w:p w14:paraId="137BBEF7"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Numéro d’Identification au RNIPP</w:t>
            </w:r>
          </w:p>
        </w:tc>
      </w:tr>
      <w:tr w:rsidR="00210278" w:rsidRPr="00210278" w14:paraId="3D0566B0" w14:textId="77777777" w:rsidTr="00210278">
        <w:trPr>
          <w:trHeight w:val="300"/>
        </w:trPr>
        <w:tc>
          <w:tcPr>
            <w:tcW w:w="1200" w:type="dxa"/>
            <w:tcBorders>
              <w:top w:val="nil"/>
              <w:left w:val="nil"/>
              <w:bottom w:val="nil"/>
              <w:right w:val="nil"/>
            </w:tcBorders>
            <w:shd w:val="clear" w:color="auto" w:fill="auto"/>
            <w:noWrap/>
            <w:vAlign w:val="bottom"/>
            <w:hideMark/>
          </w:tcPr>
          <w:p w14:paraId="4890F6D8"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OID</w:t>
            </w:r>
          </w:p>
        </w:tc>
        <w:tc>
          <w:tcPr>
            <w:tcW w:w="7180" w:type="dxa"/>
            <w:tcBorders>
              <w:top w:val="nil"/>
              <w:left w:val="nil"/>
              <w:bottom w:val="nil"/>
              <w:right w:val="nil"/>
            </w:tcBorders>
            <w:shd w:val="clear" w:color="auto" w:fill="auto"/>
            <w:noWrap/>
            <w:vAlign w:val="bottom"/>
            <w:hideMark/>
          </w:tcPr>
          <w:p w14:paraId="7C5AA8A9"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Object IDentifier (code associé au NIR ou NA dans l'INS)</w:t>
            </w:r>
          </w:p>
        </w:tc>
      </w:tr>
      <w:tr w:rsidR="00210278" w:rsidRPr="00210278" w14:paraId="3857557D" w14:textId="77777777" w:rsidTr="00210278">
        <w:trPr>
          <w:trHeight w:val="300"/>
        </w:trPr>
        <w:tc>
          <w:tcPr>
            <w:tcW w:w="1200" w:type="dxa"/>
            <w:tcBorders>
              <w:top w:val="nil"/>
              <w:left w:val="nil"/>
              <w:bottom w:val="nil"/>
              <w:right w:val="nil"/>
            </w:tcBorders>
            <w:shd w:val="clear" w:color="auto" w:fill="auto"/>
            <w:noWrap/>
            <w:vAlign w:val="bottom"/>
            <w:hideMark/>
          </w:tcPr>
          <w:p w14:paraId="13413B31"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RNIV</w:t>
            </w:r>
          </w:p>
        </w:tc>
        <w:tc>
          <w:tcPr>
            <w:tcW w:w="7180" w:type="dxa"/>
            <w:tcBorders>
              <w:top w:val="nil"/>
              <w:left w:val="nil"/>
              <w:bottom w:val="nil"/>
              <w:right w:val="nil"/>
            </w:tcBorders>
            <w:shd w:val="clear" w:color="auto" w:fill="auto"/>
            <w:noWrap/>
            <w:vAlign w:val="bottom"/>
            <w:hideMark/>
          </w:tcPr>
          <w:p w14:paraId="488884B1" w14:textId="77777777" w:rsidR="00210278" w:rsidRPr="00210278" w:rsidRDefault="00210278" w:rsidP="00210278">
            <w:pPr>
              <w:spacing w:after="0" w:line="240" w:lineRule="auto"/>
              <w:rPr>
                <w:rFonts w:eastAsia="Times New Roman" w:cstheme="minorHAnsi"/>
                <w:color w:val="000000"/>
                <w:sz w:val="20"/>
                <w:szCs w:val="20"/>
                <w:lang w:eastAsia="fr-FR"/>
              </w:rPr>
            </w:pPr>
            <w:r w:rsidRPr="00210278">
              <w:rPr>
                <w:rFonts w:eastAsia="Times New Roman" w:cstheme="minorHAnsi"/>
                <w:color w:val="000000"/>
                <w:sz w:val="20"/>
                <w:szCs w:val="20"/>
                <w:lang w:eastAsia="fr-FR"/>
              </w:rPr>
              <w:t xml:space="preserve">Référentiel national d’Identitovigilance </w:t>
            </w:r>
          </w:p>
        </w:tc>
      </w:tr>
    </w:tbl>
    <w:p w14:paraId="66DD17B9" w14:textId="77777777" w:rsidR="000B36B1" w:rsidRPr="000B36B1" w:rsidRDefault="000B36B1" w:rsidP="000B36B1"/>
    <w:p w14:paraId="6377E208" w14:textId="55BF1DF2" w:rsidR="009C0DCB" w:rsidRDefault="009C0DCB" w:rsidP="00E01867">
      <w:pPr>
        <w:jc w:val="both"/>
        <w:rPr>
          <w:sz w:val="20"/>
          <w:szCs w:val="20"/>
        </w:rPr>
      </w:pPr>
    </w:p>
    <w:p w14:paraId="2C8D18DB" w14:textId="77777777" w:rsidR="006E0EA6" w:rsidRPr="00E01867" w:rsidRDefault="006E0EA6" w:rsidP="00E01867">
      <w:pPr>
        <w:jc w:val="both"/>
        <w:rPr>
          <w:sz w:val="20"/>
          <w:szCs w:val="20"/>
        </w:rPr>
      </w:pPr>
    </w:p>
    <w:p w14:paraId="4A622F13" w14:textId="67C45423" w:rsidR="00E01867" w:rsidRPr="00322EDB" w:rsidRDefault="00502AAE" w:rsidP="00322EDB">
      <w:pPr>
        <w:pStyle w:val="Titre1"/>
        <w:keepNext/>
      </w:pPr>
      <w:r>
        <w:lastRenderedPageBreak/>
        <w:t>Contenu du kit de déploiement de l’identitovigilance en médicosocial</w:t>
      </w:r>
      <w:r w:rsidR="00444225" w:rsidRPr="28BEF9BF">
        <w:t xml:space="preserve"> : </w:t>
      </w:r>
    </w:p>
    <w:p w14:paraId="0419494C" w14:textId="698F0C6A" w:rsidR="0028326F" w:rsidRDefault="006E0EA6" w:rsidP="00322EDB">
      <w:pPr>
        <w:keepNext/>
      </w:pPr>
      <w:r>
        <w:rPr>
          <w:noProof/>
        </w:rPr>
        <mc:AlternateContent>
          <mc:Choice Requires="wpg">
            <w:drawing>
              <wp:anchor distT="0" distB="0" distL="114300" distR="114300" simplePos="0" relativeHeight="251658242" behindDoc="0" locked="0" layoutInCell="1" allowOverlap="1" wp14:anchorId="2FDC30C6" wp14:editId="280E436A">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7F1B37E7" w14:textId="122F3791" w:rsidR="00AF470A" w:rsidRPr="00174B1C" w:rsidRDefault="00AF470A" w:rsidP="007112B4">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09ED195F" w14:textId="0BAB0F2C" w:rsidR="000F1837" w:rsidRPr="0099392E" w:rsidRDefault="000F1837" w:rsidP="007112B4">
                                <w:pPr>
                                  <w:spacing w:after="0"/>
                                  <w:ind w:left="357" w:hanging="357"/>
                                  <w:rPr>
                                    <w:b/>
                                    <w:bCs/>
                                    <w:color w:val="C00000"/>
                                    <w:sz w:val="18"/>
                                    <w:szCs w:val="18"/>
                                  </w:rPr>
                                </w:pPr>
                                <w:r w:rsidRPr="0099392E">
                                  <w:rPr>
                                    <w:b/>
                                    <w:bCs/>
                                    <w:color w:val="C00000"/>
                                    <w:sz w:val="18"/>
                                    <w:szCs w:val="18"/>
                                  </w:rPr>
                                  <w:t xml:space="preserve">Volet à destination du </w:t>
                                </w:r>
                                <w:r w:rsidR="00B547F7" w:rsidRPr="0099392E">
                                  <w:rPr>
                                    <w:b/>
                                    <w:bCs/>
                                    <w:color w:val="C00000"/>
                                    <w:sz w:val="18"/>
                                    <w:szCs w:val="18"/>
                                  </w:rPr>
                                  <w:t>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7328C096" w14:textId="713D9E6C" w:rsidR="00B547F7" w:rsidRPr="0099392E" w:rsidRDefault="00B547F7" w:rsidP="007112B4">
                                <w:pPr>
                                  <w:spacing w:after="0"/>
                                  <w:ind w:left="357" w:hanging="357"/>
                                  <w:jc w:val="right"/>
                                  <w:rPr>
                                    <w:b/>
                                    <w:bCs/>
                                    <w:color w:val="C00000"/>
                                    <w:sz w:val="18"/>
                                    <w:szCs w:val="18"/>
                                  </w:rPr>
                                </w:pPr>
                                <w:r w:rsidRPr="0099392E">
                                  <w:rPr>
                                    <w:b/>
                                    <w:bCs/>
                                    <w:color w:val="C00000"/>
                                    <w:sz w:val="18"/>
                                    <w:szCs w:val="18"/>
                                  </w:rPr>
                                  <w:t xml:space="preserve">Volet à destination du </w:t>
                                </w:r>
                                <w:r w:rsidR="006466DE" w:rsidRPr="0099392E">
                                  <w:rPr>
                                    <w:b/>
                                    <w:bCs/>
                                    <w:color w:val="C00000"/>
                                    <w:sz w:val="18"/>
                                    <w:szCs w:val="18"/>
                                  </w:rPr>
                                  <w:t>DSI</w:t>
                                </w:r>
                                <w:r w:rsidRPr="0099392E">
                                  <w:rPr>
                                    <w:b/>
                                    <w:bCs/>
                                    <w:color w:val="C00000"/>
                                    <w:sz w:val="18"/>
                                    <w:szCs w:val="18"/>
                                  </w:rPr>
                                  <w:t xml:space="preserve">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11F82407" w14:textId="1121D220" w:rsidR="006466DE" w:rsidRPr="0099392E" w:rsidRDefault="006466DE" w:rsidP="00BC5A3A">
                                <w:pPr>
                                  <w:spacing w:after="0"/>
                                  <w:rPr>
                                    <w:b/>
                                    <w:bCs/>
                                    <w:color w:val="C00000"/>
                                    <w:sz w:val="18"/>
                                    <w:szCs w:val="18"/>
                                  </w:rPr>
                                </w:pPr>
                                <w:r w:rsidRPr="0099392E">
                                  <w:rPr>
                                    <w:b/>
                                    <w:bCs/>
                                    <w:color w:val="C00000"/>
                                    <w:sz w:val="18"/>
                                    <w:szCs w:val="18"/>
                                  </w:rPr>
                                  <w:t xml:space="preserve">Volet </w:t>
                                </w:r>
                                <w:r w:rsidR="00BC5A3A" w:rsidRPr="0099392E">
                                  <w:rPr>
                                    <w:b/>
                                    <w:bCs/>
                                    <w:color w:val="C00000"/>
                                    <w:sz w:val="18"/>
                                    <w:szCs w:val="18"/>
                                  </w:rPr>
                                  <w:t xml:space="preserve">à destination du référent qualité et gestion des </w:t>
                                </w:r>
                                <w:r w:rsidR="006F3093" w:rsidRPr="0099392E">
                                  <w:rPr>
                                    <w:b/>
                                    <w:bCs/>
                                    <w:color w:val="C00000"/>
                                    <w:sz w:val="18"/>
                                    <w:szCs w:val="18"/>
                                  </w:rPr>
                                  <w:t>risques</w:t>
                                </w:r>
                                <w:r w:rsidRPr="0099392E">
                                  <w:rPr>
                                    <w:b/>
                                    <w:bCs/>
                                    <w:color w:val="C00000"/>
                                    <w:sz w:val="18"/>
                                    <w:szCs w:val="18"/>
                                  </w:rPr>
                                  <w:t xml:space="preserve">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38ABB2F3" w14:textId="1522FFAD" w:rsidR="006F3093" w:rsidRPr="00984DAB" w:rsidRDefault="006F3093" w:rsidP="00174B1C">
                                <w:pPr>
                                  <w:spacing w:after="0"/>
                                  <w:ind w:left="357" w:hanging="357"/>
                                  <w:rPr>
                                    <w:b/>
                                    <w:bCs/>
                                    <w:color w:val="C00000"/>
                                    <w:sz w:val="16"/>
                                    <w:szCs w:val="16"/>
                                  </w:rPr>
                                </w:pPr>
                                <w:r w:rsidRPr="00984DAB">
                                  <w:rPr>
                                    <w:b/>
                                    <w:bCs/>
                                    <w:color w:val="C00000"/>
                                    <w:sz w:val="16"/>
                                    <w:szCs w:val="16"/>
                                  </w:rPr>
                                  <w:t>Fiches pratiques :</w:t>
                                </w:r>
                              </w:p>
                              <w:p w14:paraId="2DFCD611" w14:textId="36F57F58" w:rsidR="006F3093"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032317AF" w14:textId="28A71B99" w:rsidR="001A687A"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w:t>
                                </w:r>
                                <w:r w:rsidR="00566E64" w:rsidRPr="00984DAB">
                                  <w:rPr>
                                    <w:rFonts w:asciiTheme="minorHAnsi" w:hAnsiTheme="minorHAnsi" w:cstheme="minorHAnsi"/>
                                    <w:color w:val="C00000"/>
                                    <w:sz w:val="16"/>
                                    <w:szCs w:val="16"/>
                                  </w:rPr>
                                  <w:t xml:space="preserve"> et INS</w:t>
                                </w:r>
                              </w:p>
                              <w:p w14:paraId="2C65513E" w14:textId="08615C56" w:rsidR="001A687A"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1A1FF9E1" w14:textId="09F4A86D" w:rsidR="00CD7DD7" w:rsidRPr="00984DAB" w:rsidRDefault="00CD7DD7"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09EE0996" w14:textId="0ED8A6F1" w:rsidR="00CD7DD7" w:rsidRPr="00984DAB" w:rsidRDefault="00CD7DD7"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67958B1" w14:textId="34EFC0B0" w:rsidR="006C1B5C" w:rsidRPr="00984DAB" w:rsidRDefault="004932B3"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 xml:space="preserve">Matrice </w:t>
                                </w:r>
                                <w:r w:rsidR="006C1B5C" w:rsidRPr="00984DAB">
                                  <w:rPr>
                                    <w:rFonts w:asciiTheme="minorHAnsi" w:hAnsiTheme="minorHAnsi" w:cstheme="minorHAnsi"/>
                                    <w:color w:val="C00000"/>
                                    <w:sz w:val="16"/>
                                    <w:szCs w:val="16"/>
                                  </w:rPr>
                                  <w:t>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7E916563" w14:textId="390C10DA" w:rsidR="00CD7DD7" w:rsidRPr="0099392E" w:rsidRDefault="00D659C7" w:rsidP="00D659C7">
                                <w:pPr>
                                  <w:spacing w:after="0"/>
                                  <w:rPr>
                                    <w:b/>
                                    <w:bCs/>
                                    <w:color w:val="C00000"/>
                                    <w:sz w:val="18"/>
                                    <w:szCs w:val="18"/>
                                  </w:rPr>
                                </w:pPr>
                                <w:r w:rsidRPr="0099392E">
                                  <w:rPr>
                                    <w:b/>
                                    <w:bCs/>
                                    <w:color w:val="C00000"/>
                                    <w:sz w:val="18"/>
                                    <w:szCs w:val="18"/>
                                  </w:rPr>
                                  <w:t>R</w:t>
                                </w:r>
                                <w:r w:rsidR="00CD7DD7" w:rsidRPr="0099392E">
                                  <w:rPr>
                                    <w:b/>
                                    <w:bCs/>
                                    <w:color w:val="C00000"/>
                                    <w:sz w:val="18"/>
                                    <w:szCs w:val="18"/>
                                  </w:rPr>
                                  <w:t xml:space="preserve">écapitulatif des exigences </w:t>
                                </w:r>
                                <w:r w:rsidR="0064051A" w:rsidRPr="0099392E">
                                  <w:rPr>
                                    <w:b/>
                                    <w:bCs/>
                                    <w:color w:val="C00000"/>
                                    <w:sz w:val="18"/>
                                    <w:szCs w:val="18"/>
                                  </w:rPr>
                                  <w:t>et</w:t>
                                </w:r>
                                <w:r w:rsidRPr="0099392E">
                                  <w:rPr>
                                    <w:b/>
                                    <w:bCs/>
                                    <w:color w:val="C00000"/>
                                    <w:sz w:val="18"/>
                                    <w:szCs w:val="18"/>
                                  </w:rPr>
                                  <w:t xml:space="preserve"> </w:t>
                                </w:r>
                                <w:r w:rsidR="0064051A" w:rsidRPr="0099392E">
                                  <w:rPr>
                                    <w:b/>
                                    <w:bCs/>
                                    <w:color w:val="C00000"/>
                                    <w:sz w:val="18"/>
                                    <w:szCs w:val="18"/>
                                  </w:rPr>
                                  <w:t xml:space="preserve">recommandations </w:t>
                                </w:r>
                                <w:r w:rsidR="00CD7DD7" w:rsidRPr="0099392E">
                                  <w:rPr>
                                    <w:b/>
                                    <w:bCs/>
                                    <w:color w:val="C00000"/>
                                    <w:sz w:val="18"/>
                                    <w:szCs w:val="18"/>
                                  </w:rPr>
                                  <w:t xml:space="preserve">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511BB023" w14:textId="2FADC8F4" w:rsidR="0064051A" w:rsidRPr="0099392E" w:rsidRDefault="00367BE6" w:rsidP="00BA5879">
                                <w:pPr>
                                  <w:spacing w:after="0"/>
                                  <w:ind w:left="357" w:hanging="357"/>
                                  <w:jc w:val="right"/>
                                  <w:rPr>
                                    <w:b/>
                                    <w:bCs/>
                                    <w:color w:val="C00000"/>
                                    <w:sz w:val="18"/>
                                    <w:szCs w:val="18"/>
                                  </w:rPr>
                                </w:pPr>
                                <w:r w:rsidRPr="0099392E">
                                  <w:rPr>
                                    <w:b/>
                                    <w:bCs/>
                                    <w:color w:val="C00000"/>
                                    <w:sz w:val="18"/>
                                    <w:szCs w:val="18"/>
                                  </w:rPr>
                                  <w:t>Ressources</w:t>
                                </w:r>
                                <w:r w:rsidR="00FE3599" w:rsidRPr="0099392E">
                                  <w:rPr>
                                    <w:b/>
                                    <w:bCs/>
                                    <w:color w:val="C00000"/>
                                    <w:sz w:val="18"/>
                                    <w:szCs w:val="18"/>
                                  </w:rPr>
                                  <w:t xml:space="preserve">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420C4A9D" w14:textId="43279CBD" w:rsidR="00B12551" w:rsidRPr="00C00A0D" w:rsidRDefault="00D60C45" w:rsidP="00B12551">
                              <w:pPr>
                                <w:spacing w:after="0"/>
                                <w:ind w:left="357" w:hanging="357"/>
                                <w:rPr>
                                  <w:b/>
                                  <w:bCs/>
                                  <w:color w:val="C00000"/>
                                  <w:sz w:val="18"/>
                                  <w:szCs w:val="18"/>
                                </w:rPr>
                              </w:pPr>
                              <w:r w:rsidRPr="00C00A0D">
                                <w:rPr>
                                  <w:b/>
                                  <w:bCs/>
                                  <w:color w:val="C00000"/>
                                  <w:sz w:val="18"/>
                                  <w:szCs w:val="18"/>
                                </w:rPr>
                                <w:t>Comprendre</w:t>
                              </w:r>
                              <w:r w:rsidR="006E0EA6" w:rsidRPr="00C00A0D">
                                <w:rPr>
                                  <w:b/>
                                  <w:bCs/>
                                  <w:color w:val="C00000"/>
                                  <w:sz w:val="18"/>
                                  <w:szCs w:val="18"/>
                                </w:rPr>
                                <w:t xml:space="preserve"> </w:t>
                              </w:r>
                              <w:r w:rsidR="00B12551" w:rsidRPr="00C00A0D">
                                <w:rPr>
                                  <w:b/>
                                  <w:bCs/>
                                  <w:color w:val="C00000"/>
                                  <w:sz w:val="18"/>
                                  <w:szCs w:val="18"/>
                                </w:rPr>
                                <w:t xml:space="preserv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FDC30C6" id="Groupe 15" o:spid="_x0000_s1027" style="position:absolute;margin-left:-28.1pt;margin-top:11pt;width:510.85pt;height:349.1pt;z-index:251658242;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7F1B37E7" w14:textId="122F3791" w:rsidR="00AF470A" w:rsidRPr="00174B1C" w:rsidRDefault="00AF470A" w:rsidP="007112B4">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09ED195F" w14:textId="0BAB0F2C" w:rsidR="000F1837" w:rsidRPr="0099392E" w:rsidRDefault="000F1837" w:rsidP="007112B4">
                          <w:pPr>
                            <w:spacing w:after="0"/>
                            <w:ind w:left="357" w:hanging="357"/>
                            <w:rPr>
                              <w:b/>
                              <w:bCs/>
                              <w:color w:val="C00000"/>
                              <w:sz w:val="18"/>
                              <w:szCs w:val="18"/>
                            </w:rPr>
                          </w:pPr>
                          <w:r w:rsidRPr="0099392E">
                            <w:rPr>
                              <w:b/>
                              <w:bCs/>
                              <w:color w:val="C00000"/>
                              <w:sz w:val="18"/>
                              <w:szCs w:val="18"/>
                            </w:rPr>
                            <w:t xml:space="preserve">Volet à destination du </w:t>
                          </w:r>
                          <w:r w:rsidR="00B547F7" w:rsidRPr="0099392E">
                            <w:rPr>
                              <w:b/>
                              <w:bCs/>
                              <w:color w:val="C00000"/>
                              <w:sz w:val="18"/>
                              <w:szCs w:val="18"/>
                            </w:rPr>
                            <w:t>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7328C096" w14:textId="713D9E6C" w:rsidR="00B547F7" w:rsidRPr="0099392E" w:rsidRDefault="00B547F7" w:rsidP="007112B4">
                          <w:pPr>
                            <w:spacing w:after="0"/>
                            <w:ind w:left="357" w:hanging="357"/>
                            <w:jc w:val="right"/>
                            <w:rPr>
                              <w:b/>
                              <w:bCs/>
                              <w:color w:val="C00000"/>
                              <w:sz w:val="18"/>
                              <w:szCs w:val="18"/>
                            </w:rPr>
                          </w:pPr>
                          <w:r w:rsidRPr="0099392E">
                            <w:rPr>
                              <w:b/>
                              <w:bCs/>
                              <w:color w:val="C00000"/>
                              <w:sz w:val="18"/>
                              <w:szCs w:val="18"/>
                            </w:rPr>
                            <w:t xml:space="preserve">Volet à destination du </w:t>
                          </w:r>
                          <w:r w:rsidR="006466DE" w:rsidRPr="0099392E">
                            <w:rPr>
                              <w:b/>
                              <w:bCs/>
                              <w:color w:val="C00000"/>
                              <w:sz w:val="18"/>
                              <w:szCs w:val="18"/>
                            </w:rPr>
                            <w:t>DSI</w:t>
                          </w:r>
                          <w:r w:rsidRPr="0099392E">
                            <w:rPr>
                              <w:b/>
                              <w:bCs/>
                              <w:color w:val="C00000"/>
                              <w:sz w:val="18"/>
                              <w:szCs w:val="18"/>
                            </w:rPr>
                            <w:t xml:space="preserve">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11F82407" w14:textId="1121D220" w:rsidR="006466DE" w:rsidRPr="0099392E" w:rsidRDefault="006466DE" w:rsidP="00BC5A3A">
                          <w:pPr>
                            <w:spacing w:after="0"/>
                            <w:rPr>
                              <w:b/>
                              <w:bCs/>
                              <w:color w:val="C00000"/>
                              <w:sz w:val="18"/>
                              <w:szCs w:val="18"/>
                            </w:rPr>
                          </w:pPr>
                          <w:r w:rsidRPr="0099392E">
                            <w:rPr>
                              <w:b/>
                              <w:bCs/>
                              <w:color w:val="C00000"/>
                              <w:sz w:val="18"/>
                              <w:szCs w:val="18"/>
                            </w:rPr>
                            <w:t xml:space="preserve">Volet </w:t>
                          </w:r>
                          <w:r w:rsidR="00BC5A3A" w:rsidRPr="0099392E">
                            <w:rPr>
                              <w:b/>
                              <w:bCs/>
                              <w:color w:val="C00000"/>
                              <w:sz w:val="18"/>
                              <w:szCs w:val="18"/>
                            </w:rPr>
                            <w:t xml:space="preserve">à destination du référent qualité et gestion des </w:t>
                          </w:r>
                          <w:r w:rsidR="006F3093" w:rsidRPr="0099392E">
                            <w:rPr>
                              <w:b/>
                              <w:bCs/>
                              <w:color w:val="C00000"/>
                              <w:sz w:val="18"/>
                              <w:szCs w:val="18"/>
                            </w:rPr>
                            <w:t>risques</w:t>
                          </w:r>
                          <w:r w:rsidRPr="0099392E">
                            <w:rPr>
                              <w:b/>
                              <w:bCs/>
                              <w:color w:val="C00000"/>
                              <w:sz w:val="18"/>
                              <w:szCs w:val="18"/>
                            </w:rPr>
                            <w:t xml:space="preserve">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8ABB2F3" w14:textId="1522FFAD" w:rsidR="006F3093" w:rsidRPr="00984DAB" w:rsidRDefault="006F3093" w:rsidP="00174B1C">
                          <w:pPr>
                            <w:spacing w:after="0"/>
                            <w:ind w:left="357" w:hanging="357"/>
                            <w:rPr>
                              <w:b/>
                              <w:bCs/>
                              <w:color w:val="C00000"/>
                              <w:sz w:val="16"/>
                              <w:szCs w:val="16"/>
                            </w:rPr>
                          </w:pPr>
                          <w:r w:rsidRPr="00984DAB">
                            <w:rPr>
                              <w:b/>
                              <w:bCs/>
                              <w:color w:val="C00000"/>
                              <w:sz w:val="16"/>
                              <w:szCs w:val="16"/>
                            </w:rPr>
                            <w:t>Fiches pratiques :</w:t>
                          </w:r>
                        </w:p>
                        <w:p w14:paraId="2DFCD611" w14:textId="36F57F58" w:rsidR="006F3093"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032317AF" w14:textId="28A71B99" w:rsidR="001A687A"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w:t>
                          </w:r>
                          <w:r w:rsidR="00566E64" w:rsidRPr="00984DAB">
                            <w:rPr>
                              <w:rFonts w:asciiTheme="minorHAnsi" w:hAnsiTheme="minorHAnsi" w:cstheme="minorHAnsi"/>
                              <w:color w:val="C00000"/>
                              <w:sz w:val="16"/>
                              <w:szCs w:val="16"/>
                            </w:rPr>
                            <w:t xml:space="preserve"> et INS</w:t>
                          </w:r>
                        </w:p>
                        <w:p w14:paraId="2C65513E" w14:textId="08615C56" w:rsidR="001A687A" w:rsidRPr="00984DAB" w:rsidRDefault="001A687A"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1A1FF9E1" w14:textId="09F4A86D" w:rsidR="00CD7DD7" w:rsidRPr="00984DAB" w:rsidRDefault="00CD7DD7"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09EE0996" w14:textId="0ED8A6F1" w:rsidR="00CD7DD7" w:rsidRPr="00984DAB" w:rsidRDefault="00CD7DD7"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67958B1" w14:textId="34EFC0B0" w:rsidR="006C1B5C" w:rsidRPr="00984DAB" w:rsidRDefault="004932B3" w:rsidP="00187C90">
                          <w:pPr>
                            <w:pStyle w:val="Paragraphedeliste"/>
                            <w:numPr>
                              <w:ilvl w:val="0"/>
                              <w:numId w:val="18"/>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 xml:space="preserve">Matrice </w:t>
                          </w:r>
                          <w:r w:rsidR="006C1B5C" w:rsidRPr="00984DAB">
                            <w:rPr>
                              <w:rFonts w:asciiTheme="minorHAnsi" w:hAnsiTheme="minorHAnsi" w:cstheme="minorHAnsi"/>
                              <w:color w:val="C00000"/>
                              <w:sz w:val="16"/>
                              <w:szCs w:val="16"/>
                            </w:rPr>
                            <w:t>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7E916563" w14:textId="390C10DA" w:rsidR="00CD7DD7" w:rsidRPr="0099392E" w:rsidRDefault="00D659C7" w:rsidP="00D659C7">
                          <w:pPr>
                            <w:spacing w:after="0"/>
                            <w:rPr>
                              <w:b/>
                              <w:bCs/>
                              <w:color w:val="C00000"/>
                              <w:sz w:val="18"/>
                              <w:szCs w:val="18"/>
                            </w:rPr>
                          </w:pPr>
                          <w:r w:rsidRPr="0099392E">
                            <w:rPr>
                              <w:b/>
                              <w:bCs/>
                              <w:color w:val="C00000"/>
                              <w:sz w:val="18"/>
                              <w:szCs w:val="18"/>
                            </w:rPr>
                            <w:t>R</w:t>
                          </w:r>
                          <w:r w:rsidR="00CD7DD7" w:rsidRPr="0099392E">
                            <w:rPr>
                              <w:b/>
                              <w:bCs/>
                              <w:color w:val="C00000"/>
                              <w:sz w:val="18"/>
                              <w:szCs w:val="18"/>
                            </w:rPr>
                            <w:t xml:space="preserve">écapitulatif des exigences </w:t>
                          </w:r>
                          <w:r w:rsidR="0064051A" w:rsidRPr="0099392E">
                            <w:rPr>
                              <w:b/>
                              <w:bCs/>
                              <w:color w:val="C00000"/>
                              <w:sz w:val="18"/>
                              <w:szCs w:val="18"/>
                            </w:rPr>
                            <w:t>et</w:t>
                          </w:r>
                          <w:r w:rsidRPr="0099392E">
                            <w:rPr>
                              <w:b/>
                              <w:bCs/>
                              <w:color w:val="C00000"/>
                              <w:sz w:val="18"/>
                              <w:szCs w:val="18"/>
                            </w:rPr>
                            <w:t xml:space="preserve"> </w:t>
                          </w:r>
                          <w:r w:rsidR="0064051A" w:rsidRPr="0099392E">
                            <w:rPr>
                              <w:b/>
                              <w:bCs/>
                              <w:color w:val="C00000"/>
                              <w:sz w:val="18"/>
                              <w:szCs w:val="18"/>
                            </w:rPr>
                            <w:t xml:space="preserve">recommandations </w:t>
                          </w:r>
                          <w:r w:rsidR="00CD7DD7" w:rsidRPr="0099392E">
                            <w:rPr>
                              <w:b/>
                              <w:bCs/>
                              <w:color w:val="C00000"/>
                              <w:sz w:val="18"/>
                              <w:szCs w:val="18"/>
                            </w:rPr>
                            <w:t xml:space="preserve">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511BB023" w14:textId="2FADC8F4" w:rsidR="0064051A" w:rsidRPr="0099392E" w:rsidRDefault="00367BE6" w:rsidP="00BA5879">
                          <w:pPr>
                            <w:spacing w:after="0"/>
                            <w:ind w:left="357" w:hanging="357"/>
                            <w:jc w:val="right"/>
                            <w:rPr>
                              <w:b/>
                              <w:bCs/>
                              <w:color w:val="C00000"/>
                              <w:sz w:val="18"/>
                              <w:szCs w:val="18"/>
                            </w:rPr>
                          </w:pPr>
                          <w:r w:rsidRPr="0099392E">
                            <w:rPr>
                              <w:b/>
                              <w:bCs/>
                              <w:color w:val="C00000"/>
                              <w:sz w:val="18"/>
                              <w:szCs w:val="18"/>
                            </w:rPr>
                            <w:t>Ressources</w:t>
                          </w:r>
                          <w:r w:rsidR="00FE3599" w:rsidRPr="0099392E">
                            <w:rPr>
                              <w:b/>
                              <w:bCs/>
                              <w:color w:val="C00000"/>
                              <w:sz w:val="18"/>
                              <w:szCs w:val="18"/>
                            </w:rPr>
                            <w:t xml:space="preserve">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420C4A9D" w14:textId="43279CBD" w:rsidR="00B12551" w:rsidRPr="00C00A0D" w:rsidRDefault="00D60C45" w:rsidP="00B12551">
                        <w:pPr>
                          <w:spacing w:after="0"/>
                          <w:ind w:left="357" w:hanging="357"/>
                          <w:rPr>
                            <w:b/>
                            <w:bCs/>
                            <w:color w:val="C00000"/>
                            <w:sz w:val="18"/>
                            <w:szCs w:val="18"/>
                          </w:rPr>
                        </w:pPr>
                        <w:r w:rsidRPr="00C00A0D">
                          <w:rPr>
                            <w:b/>
                            <w:bCs/>
                            <w:color w:val="C00000"/>
                            <w:sz w:val="18"/>
                            <w:szCs w:val="18"/>
                          </w:rPr>
                          <w:t>Comprendre</w:t>
                        </w:r>
                        <w:r w:rsidR="006E0EA6" w:rsidRPr="00C00A0D">
                          <w:rPr>
                            <w:b/>
                            <w:bCs/>
                            <w:color w:val="C00000"/>
                            <w:sz w:val="18"/>
                            <w:szCs w:val="18"/>
                          </w:rPr>
                          <w:t xml:space="preserve"> </w:t>
                        </w:r>
                        <w:r w:rsidR="00B12551" w:rsidRPr="00C00A0D">
                          <w:rPr>
                            <w:b/>
                            <w:bCs/>
                            <w:color w:val="C00000"/>
                            <w:sz w:val="18"/>
                            <w:szCs w:val="18"/>
                          </w:rPr>
                          <w:t xml:space="preserve"> </w:t>
                        </w:r>
                      </w:p>
                    </w:txbxContent>
                  </v:textbox>
                </v:shape>
              </v:group>
            </w:pict>
          </mc:Fallback>
        </mc:AlternateContent>
      </w:r>
      <w:r w:rsidR="00F9306F">
        <w:rPr>
          <w:noProof/>
        </w:rPr>
        <w:drawing>
          <wp:inline distT="0" distB="0" distL="0" distR="0" wp14:anchorId="04A1C1BF" wp14:editId="0E032D52">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sectPr w:rsidR="0028326F">
      <w:headerReference w:type="even" r:id="rId17"/>
      <w:headerReference w:type="default" r:id="rId18"/>
      <w:footerReference w:type="default" r:id="rId19"/>
      <w:head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3F9E4" w14:textId="77777777" w:rsidR="003A153F" w:rsidRDefault="003A153F" w:rsidP="00E01867">
      <w:pPr>
        <w:spacing w:after="0" w:line="240" w:lineRule="auto"/>
      </w:pPr>
      <w:r>
        <w:separator/>
      </w:r>
    </w:p>
  </w:endnote>
  <w:endnote w:type="continuationSeparator" w:id="0">
    <w:p w14:paraId="43BF4278" w14:textId="77777777" w:rsidR="003A153F" w:rsidRDefault="003A153F" w:rsidP="00E01867">
      <w:pPr>
        <w:spacing w:after="0" w:line="240" w:lineRule="auto"/>
      </w:pPr>
      <w:r>
        <w:continuationSeparator/>
      </w:r>
    </w:p>
  </w:endnote>
  <w:endnote w:type="continuationNotice" w:id="1">
    <w:p w14:paraId="2BB1288D" w14:textId="77777777" w:rsidR="003A153F" w:rsidRDefault="003A15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2815149"/>
      <w:docPartObj>
        <w:docPartGallery w:val="Page Numbers (Bottom of Page)"/>
        <w:docPartUnique/>
      </w:docPartObj>
    </w:sdtPr>
    <w:sdtEndPr>
      <w:rPr>
        <w:sz w:val="16"/>
        <w:szCs w:val="16"/>
      </w:rPr>
    </w:sdtEndPr>
    <w:sdtContent>
      <w:p w14:paraId="63C4B759" w14:textId="17A70168" w:rsidR="00444225" w:rsidRPr="00263042" w:rsidRDefault="00444225">
        <w:pPr>
          <w:pStyle w:val="Pieddepage"/>
          <w:rPr>
            <w:sz w:val="16"/>
            <w:szCs w:val="16"/>
          </w:rPr>
        </w:pPr>
        <w:r w:rsidRPr="00263042">
          <w:rPr>
            <w:noProof/>
            <w:sz w:val="16"/>
            <w:szCs w:val="16"/>
          </w:rPr>
          <mc:AlternateContent>
            <mc:Choice Requires="wpg">
              <w:drawing>
                <wp:anchor distT="0" distB="0" distL="114300" distR="114300" simplePos="0" relativeHeight="251658240" behindDoc="0" locked="0" layoutInCell="0" allowOverlap="1" wp14:anchorId="2A86CDBB" wp14:editId="5CCBDC1F">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8F3D0D" w14:textId="77777777" w:rsidR="00444225" w:rsidRDefault="00444225"/>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62E062CA" w14:textId="77777777" w:rsidR="00444225" w:rsidRDefault="00444225">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86CDBB" id="Groupe 1" o:spid="_x0000_s1037" style="position:absolute;margin-left:20.8pt;margin-top:0;width:1in;height:1in;z-index:251658240;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MvYvlxMDAAAiCAAADgAAAAAAAAAAAAAAAAAuAgAAZHJzL2Uy&#10;b0RvYy54bWxQSwECLQAUAAYACAAAACEAyq8t1tgAAAAFAQAADwAAAAAAAAAAAAAAAABtBQAAZHJz&#10;L2Rvd25yZXYueG1sUEsFBgAAAAAEAAQA8wAAAHIGAAAAAA==&#10;" o:allowincell="f">
                  <v:rect id="Rectangle 2"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108F3D0D" w14:textId="77777777" w:rsidR="00444225" w:rsidRDefault="00444225"/>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62E062CA" w14:textId="77777777" w:rsidR="00444225" w:rsidRDefault="00444225">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D75838">
          <w:rPr>
            <w:sz w:val="16"/>
            <w:szCs w:val="16"/>
          </w:rPr>
          <w:t xml:space="preserve">Version 7/12/2021 – Merci de ne pas </w:t>
        </w:r>
        <w:r w:rsidR="00D378F1">
          <w:rPr>
            <w:sz w:val="16"/>
            <w:szCs w:val="16"/>
          </w:rPr>
          <w:t xml:space="preserve">diffuser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C5A47" w14:textId="77777777" w:rsidR="003A153F" w:rsidRDefault="003A153F" w:rsidP="00E01867">
      <w:pPr>
        <w:spacing w:after="0" w:line="240" w:lineRule="auto"/>
      </w:pPr>
      <w:r>
        <w:separator/>
      </w:r>
    </w:p>
  </w:footnote>
  <w:footnote w:type="continuationSeparator" w:id="0">
    <w:p w14:paraId="0C2E9548" w14:textId="77777777" w:rsidR="003A153F" w:rsidRDefault="003A153F" w:rsidP="00E01867">
      <w:pPr>
        <w:spacing w:after="0" w:line="240" w:lineRule="auto"/>
      </w:pPr>
      <w:r>
        <w:continuationSeparator/>
      </w:r>
    </w:p>
  </w:footnote>
  <w:footnote w:type="continuationNotice" w:id="1">
    <w:p w14:paraId="11C09CA5" w14:textId="77777777" w:rsidR="003A153F" w:rsidRDefault="003A153F">
      <w:pPr>
        <w:spacing w:after="0" w:line="240" w:lineRule="auto"/>
      </w:pPr>
    </w:p>
  </w:footnote>
  <w:footnote w:id="2">
    <w:p w14:paraId="08D76082" w14:textId="77777777" w:rsidR="000D3268" w:rsidRPr="00564359" w:rsidRDefault="000D3268" w:rsidP="000D3268">
      <w:pPr>
        <w:pStyle w:val="Notedebasdepage"/>
        <w:rPr>
          <w:sz w:val="16"/>
          <w:szCs w:val="16"/>
        </w:rPr>
      </w:pPr>
      <w:r w:rsidRPr="00564359">
        <w:rPr>
          <w:rStyle w:val="Appelnotedebasdep"/>
          <w:sz w:val="16"/>
          <w:szCs w:val="16"/>
        </w:rPr>
        <w:footnoteRef/>
      </w:r>
      <w:r w:rsidRPr="00564359">
        <w:rPr>
          <w:sz w:val="16"/>
          <w:szCs w:val="16"/>
        </w:rPr>
        <w:t xml:space="preserve"> Cartographie fonctionnelle du SI médico-social : </w:t>
      </w:r>
      <w:hyperlink r:id="rId1" w:history="1">
        <w:r w:rsidRPr="00564359">
          <w:rPr>
            <w:rStyle w:val="Lienhypertexte"/>
            <w:sz w:val="16"/>
            <w:szCs w:val="16"/>
          </w:rPr>
          <w:t>https://ressources.anap.fr/numerique/publication/2604</w:t>
        </w:r>
      </w:hyperlink>
      <w:r w:rsidRPr="00564359">
        <w:rPr>
          <w:sz w:val="16"/>
          <w:szCs w:val="16"/>
        </w:rPr>
        <w:t xml:space="preserve"> </w:t>
      </w:r>
    </w:p>
  </w:footnote>
  <w:footnote w:id="3">
    <w:p w14:paraId="499E00C4" w14:textId="77777777" w:rsidR="000D3268" w:rsidRPr="00564359" w:rsidRDefault="000D3268" w:rsidP="000D3268">
      <w:pPr>
        <w:pStyle w:val="Notedebasdepage"/>
        <w:rPr>
          <w:sz w:val="16"/>
          <w:szCs w:val="16"/>
        </w:rPr>
      </w:pPr>
      <w:r w:rsidRPr="00564359">
        <w:rPr>
          <w:rStyle w:val="Appelnotedebasdep"/>
          <w:sz w:val="16"/>
          <w:szCs w:val="16"/>
        </w:rPr>
        <w:footnoteRef/>
      </w:r>
      <w:r w:rsidRPr="00564359">
        <w:rPr>
          <w:sz w:val="16"/>
          <w:szCs w:val="16"/>
        </w:rPr>
        <w:t xml:space="preserve"> Volet 1 du RNIV : </w:t>
      </w:r>
      <w:hyperlink r:id="rId2" w:history="1">
        <w:r w:rsidRPr="00564359">
          <w:rPr>
            <w:rStyle w:val="Lienhypertexte"/>
            <w:sz w:val="16"/>
            <w:szCs w:val="16"/>
          </w:rPr>
          <w:t>rniv_1_principes_communs_v1.2_dgos.pdf (solidarites-sante.gouv.fr)</w:t>
        </w:r>
      </w:hyperlink>
    </w:p>
  </w:footnote>
  <w:footnote w:id="4">
    <w:p w14:paraId="4D90391E" w14:textId="77777777" w:rsidR="000D3268" w:rsidRPr="00564359" w:rsidRDefault="000D3268" w:rsidP="000D3268">
      <w:pPr>
        <w:pStyle w:val="Notedebasdepage"/>
        <w:rPr>
          <w:sz w:val="16"/>
          <w:szCs w:val="16"/>
        </w:rPr>
      </w:pPr>
      <w:r w:rsidRPr="00564359">
        <w:rPr>
          <w:rStyle w:val="Appelnotedebasdep"/>
          <w:sz w:val="16"/>
          <w:szCs w:val="16"/>
        </w:rPr>
        <w:footnoteRef/>
      </w:r>
      <w:r w:rsidRPr="00564359">
        <w:rPr>
          <w:sz w:val="16"/>
          <w:szCs w:val="16"/>
        </w:rPr>
        <w:t xml:space="preserve"> Volet 3 du RNIV : </w:t>
      </w:r>
      <w:hyperlink r:id="rId3" w:history="1">
        <w:r w:rsidRPr="00564359">
          <w:rPr>
            <w:rStyle w:val="Lienhypertexte"/>
            <w:sz w:val="16"/>
            <w:szCs w:val="16"/>
          </w:rPr>
          <w:t>rniv_3_identitovigilance_structures_non_hospitalieres_v1.2_dgos.pdf (solidarites-sante.gouv.fr)</w:t>
        </w:r>
      </w:hyperlink>
    </w:p>
  </w:footnote>
  <w:footnote w:id="5">
    <w:p w14:paraId="6165764D" w14:textId="77777777" w:rsidR="00E01867" w:rsidRPr="00564359" w:rsidRDefault="00E01867" w:rsidP="00E01867">
      <w:pPr>
        <w:pStyle w:val="Notedebasdepage"/>
        <w:spacing w:after="60"/>
        <w:ind w:left="142" w:hanging="142"/>
        <w:jc w:val="both"/>
        <w:rPr>
          <w:sz w:val="16"/>
          <w:szCs w:val="16"/>
        </w:rPr>
      </w:pPr>
      <w:r w:rsidRPr="00564359">
        <w:rPr>
          <w:rStyle w:val="Appelnotedebasdep"/>
          <w:sz w:val="16"/>
          <w:szCs w:val="16"/>
        </w:rPr>
        <w:footnoteRef/>
      </w:r>
      <w:r w:rsidRPr="00564359">
        <w:rPr>
          <w:sz w:val="16"/>
          <w:szCs w:val="16"/>
        </w:rPr>
        <w:t xml:space="preserve"> Répertoire national d’identification des personnes physiques (RNIPP) pour les usagers nés en France ou Système national de gestion des identifiants (SNGI) pour les usagers nés à l’étranger et couverts par l’Assurance Maladie. Les deux bases RNIPP et SNGI sont synchronisées. </w:t>
      </w:r>
    </w:p>
  </w:footnote>
  <w:footnote w:id="6">
    <w:p w14:paraId="0C785FCA" w14:textId="701FA4A0" w:rsidR="00E01867" w:rsidRPr="00564359" w:rsidRDefault="00E01867" w:rsidP="00E01867">
      <w:pPr>
        <w:pStyle w:val="Notedebasdepage"/>
        <w:spacing w:after="60"/>
        <w:ind w:left="142" w:hanging="142"/>
        <w:jc w:val="both"/>
        <w:rPr>
          <w:sz w:val="16"/>
          <w:szCs w:val="16"/>
        </w:rPr>
      </w:pPr>
      <w:r w:rsidRPr="00564359">
        <w:rPr>
          <w:rStyle w:val="Appelnotedebasdep"/>
          <w:sz w:val="16"/>
          <w:szCs w:val="16"/>
        </w:rPr>
        <w:footnoteRef/>
      </w:r>
      <w:r w:rsidRPr="00564359">
        <w:rPr>
          <w:sz w:val="16"/>
          <w:szCs w:val="16"/>
        </w:rPr>
        <w:t xml:space="preserve"> Décret n°2019-1036 du 8 octobre 2019 modifiant le décret n°2017-412 du 27 mars 2017 relatif à l’utilisation du numéro d’inscription au répertoire national d’identification des personnes physiques comme identifiant national de santé</w:t>
      </w:r>
      <w:r w:rsidR="00501BD0">
        <w:rPr>
          <w:sz w:val="16"/>
          <w:szCs w:val="16"/>
        </w:rPr>
        <w:t xml:space="preserve"> : </w:t>
      </w:r>
      <w:hyperlink r:id="rId4" w:anchor=":~:text=Dans%20les%20r%C3%A9sum%C3%A9s-,D%C3%A9cret%20n%C2%B0%202019%2D1036%20du%208%20octobre%202019%20modifiant,code%20de%20la%20sant%C3%A9%20publique" w:history="1">
        <w:r w:rsidR="00501BD0" w:rsidRPr="00501BD0">
          <w:rPr>
            <w:rStyle w:val="Lienhypertexte"/>
            <w:sz w:val="16"/>
            <w:szCs w:val="16"/>
          </w:rPr>
          <w:t>Décret n° 2019-1036 du 8 octobre 2019 modifiant le décret n° 2017-412 du 27 mars 2017 relatif à l'utilisation du numéro d'inscription au répertoire national d'identification des personnes physiques comme identifiant national de santé et les articles R. 1111-8-1 à R. 1111-8-7 du code de la santé publique - Légifrance (legifrance.gouv.fr)</w:t>
        </w:r>
      </w:hyperlink>
    </w:p>
  </w:footnote>
  <w:footnote w:id="7">
    <w:p w14:paraId="00FF7D83" w14:textId="4794D106" w:rsidR="00E01867" w:rsidRDefault="00E01867" w:rsidP="00E01867">
      <w:pPr>
        <w:pStyle w:val="Notedebasdepage"/>
        <w:spacing w:after="60"/>
        <w:ind w:left="142" w:hanging="142"/>
        <w:jc w:val="both"/>
      </w:pPr>
      <w:r w:rsidRPr="00564359">
        <w:rPr>
          <w:rStyle w:val="Appelnotedebasdep"/>
          <w:sz w:val="16"/>
          <w:szCs w:val="16"/>
        </w:rPr>
        <w:footnoteRef/>
      </w:r>
      <w:r w:rsidRPr="00564359">
        <w:rPr>
          <w:sz w:val="16"/>
          <w:szCs w:val="16"/>
        </w:rPr>
        <w:t xml:space="preserve"> Arrêté du 27 mai 2021 paru le 8 juin 2021 portant approbation des modifications apportées au référentiel « Identifiant national de santé »</w:t>
      </w:r>
      <w:r w:rsidR="000D1871">
        <w:rPr>
          <w:sz w:val="16"/>
          <w:szCs w:val="16"/>
        </w:rPr>
        <w:t xml:space="preserve"> : </w:t>
      </w:r>
      <w:hyperlink r:id="rId5" w:history="1">
        <w:r w:rsidR="000D1871" w:rsidRPr="000D1871">
          <w:rPr>
            <w:rStyle w:val="Lienhypertexte"/>
            <w:sz w:val="16"/>
            <w:szCs w:val="16"/>
          </w:rPr>
          <w:t>Arrêté du 27 mai 2021 portant approbation des modifications apportées au référentiel « Identifiant national de santé » - Légifrance (legifrance.gouv.fr)</w:t>
        </w:r>
      </w:hyperlink>
    </w:p>
  </w:footnote>
  <w:footnote w:id="8">
    <w:p w14:paraId="647EB5BF" w14:textId="771AD57F" w:rsidR="00E01867" w:rsidRPr="00321BE4" w:rsidRDefault="00E01867" w:rsidP="00E01867">
      <w:pPr>
        <w:pStyle w:val="Notedebasdepage"/>
        <w:rPr>
          <w:sz w:val="16"/>
          <w:szCs w:val="16"/>
        </w:rPr>
      </w:pPr>
      <w:r w:rsidRPr="00321BE4">
        <w:rPr>
          <w:rStyle w:val="Appelnotedebasdep"/>
          <w:sz w:val="16"/>
          <w:szCs w:val="16"/>
        </w:rPr>
        <w:footnoteRef/>
      </w:r>
      <w:r w:rsidRPr="00321BE4">
        <w:rPr>
          <w:sz w:val="16"/>
          <w:szCs w:val="16"/>
        </w:rPr>
        <w:t xml:space="preserve"> </w:t>
      </w:r>
      <w:r w:rsidR="005F2A0F" w:rsidRPr="00321BE4">
        <w:rPr>
          <w:sz w:val="16"/>
          <w:szCs w:val="16"/>
        </w:rPr>
        <w:t>Les données de santé sont toutes les informations à caractère personnel susceptibles de révéler directement ou indirectement des informations sur l’état de santé d'une personne</w:t>
      </w:r>
      <w:r w:rsidR="003D16BE" w:rsidRPr="00321BE4">
        <w:rPr>
          <w:sz w:val="16"/>
          <w:szCs w:val="16"/>
        </w:rPr>
        <w:t xml:space="preserve"> </w:t>
      </w:r>
      <w:r w:rsidRPr="00321BE4">
        <w:rPr>
          <w:sz w:val="16"/>
          <w:szCs w:val="16"/>
        </w:rPr>
        <w:t xml:space="preserve">: </w:t>
      </w:r>
      <w:hyperlink r:id="rId6" w:history="1">
        <w:r w:rsidRPr="00321BE4">
          <w:rPr>
            <w:rStyle w:val="Lienhypertexte"/>
            <w:sz w:val="16"/>
            <w:szCs w:val="16"/>
          </w:rPr>
          <w:t>https://www.identito-na.fr/donnee-de-sante</w:t>
        </w:r>
      </w:hyperlink>
      <w:r w:rsidRPr="00321BE4">
        <w:rPr>
          <w:sz w:val="16"/>
          <w:szCs w:val="16"/>
        </w:rPr>
        <w:t xml:space="preserve"> </w:t>
      </w:r>
    </w:p>
  </w:footnote>
  <w:footnote w:id="9">
    <w:p w14:paraId="3FE16E38" w14:textId="5A4A1C6B" w:rsidR="007A2C58" w:rsidRPr="00321BE4" w:rsidRDefault="007A2C58" w:rsidP="007A2C58">
      <w:pPr>
        <w:pStyle w:val="Notedebasdepage"/>
        <w:rPr>
          <w:sz w:val="16"/>
          <w:szCs w:val="16"/>
        </w:rPr>
      </w:pPr>
      <w:r w:rsidRPr="00933583">
        <w:rPr>
          <w:rStyle w:val="Appelnotedebasdep"/>
          <w:sz w:val="16"/>
          <w:szCs w:val="16"/>
        </w:rPr>
        <w:footnoteRef/>
      </w:r>
      <w:r w:rsidRPr="00933583">
        <w:rPr>
          <w:sz w:val="16"/>
          <w:szCs w:val="16"/>
        </w:rPr>
        <w:t xml:space="preserve"> Cf. Fiche pratique identification secondaire </w:t>
      </w:r>
      <w:r w:rsidR="008631C3" w:rsidRPr="00933583">
        <w:rPr>
          <w:sz w:val="16"/>
          <w:szCs w:val="16"/>
        </w:rPr>
        <w:t xml:space="preserve">- </w:t>
      </w:r>
      <w:r w:rsidRPr="00933583">
        <w:rPr>
          <w:sz w:val="16"/>
          <w:szCs w:val="16"/>
        </w:rPr>
        <w:t xml:space="preserve">document </w:t>
      </w:r>
      <w:r w:rsidR="0075107E" w:rsidRPr="00933583">
        <w:rPr>
          <w:sz w:val="16"/>
          <w:szCs w:val="16"/>
        </w:rPr>
        <w:t>VI</w:t>
      </w:r>
    </w:p>
  </w:footnote>
  <w:footnote w:id="10">
    <w:p w14:paraId="36865564" w14:textId="22B367B1" w:rsidR="002F07AC" w:rsidRDefault="002F07AC">
      <w:pPr>
        <w:pStyle w:val="Notedebasdepage"/>
      </w:pPr>
      <w:r w:rsidRPr="00821D41">
        <w:rPr>
          <w:rStyle w:val="Appelnotedebasdep"/>
          <w:sz w:val="16"/>
          <w:szCs w:val="16"/>
        </w:rPr>
        <w:footnoteRef/>
      </w:r>
      <w:r w:rsidRPr="00821D41">
        <w:rPr>
          <w:sz w:val="16"/>
          <w:szCs w:val="16"/>
        </w:rPr>
        <w:t xml:space="preserve"> </w:t>
      </w:r>
      <w:r w:rsidR="00C63EC8" w:rsidRPr="00821D41">
        <w:rPr>
          <w:sz w:val="16"/>
          <w:szCs w:val="16"/>
        </w:rPr>
        <w:t xml:space="preserve">Le GIE Sesam Vitale est un Groupement d’Intérêt Economique, </w:t>
      </w:r>
      <w:r w:rsidR="00821D41" w:rsidRPr="00821D41">
        <w:rPr>
          <w:sz w:val="16"/>
          <w:szCs w:val="16"/>
        </w:rPr>
        <w:t>spécialisé dans ans le domaine des technologies de l’information</w:t>
      </w:r>
      <w:r w:rsidR="002E6884">
        <w:rPr>
          <w:sz w:val="16"/>
          <w:szCs w:val="16"/>
        </w:rPr>
        <w:t xml:space="preserve">. </w:t>
      </w:r>
    </w:p>
  </w:footnote>
  <w:footnote w:id="11">
    <w:p w14:paraId="6C0F5234" w14:textId="7A96D7B0" w:rsidR="00E01867" w:rsidRPr="00670FC2" w:rsidRDefault="00E01867" w:rsidP="00E01867">
      <w:pPr>
        <w:pStyle w:val="Notedebasdepage"/>
        <w:rPr>
          <w:sz w:val="16"/>
          <w:szCs w:val="16"/>
        </w:rPr>
      </w:pPr>
      <w:r w:rsidRPr="00670FC2">
        <w:rPr>
          <w:rStyle w:val="Appelnotedebasdep"/>
          <w:sz w:val="16"/>
          <w:szCs w:val="16"/>
        </w:rPr>
        <w:footnoteRef/>
      </w:r>
      <w:r w:rsidRPr="00670FC2">
        <w:rPr>
          <w:sz w:val="16"/>
          <w:szCs w:val="16"/>
        </w:rPr>
        <w:t xml:space="preserve"> </w:t>
      </w:r>
      <w:r w:rsidR="00F72CCE" w:rsidRPr="00670FC2">
        <w:rPr>
          <w:sz w:val="16"/>
          <w:szCs w:val="16"/>
        </w:rPr>
        <w:t xml:space="preserve">Les évaluations </w:t>
      </w:r>
      <w:r w:rsidR="00670FC2" w:rsidRPr="00670FC2">
        <w:rPr>
          <w:sz w:val="16"/>
          <w:szCs w:val="16"/>
        </w:rPr>
        <w:t xml:space="preserve">internes et externes : </w:t>
      </w:r>
      <w:r w:rsidRPr="00670FC2">
        <w:rPr>
          <w:sz w:val="16"/>
          <w:szCs w:val="16"/>
        </w:rPr>
        <w:t xml:space="preserve"> </w:t>
      </w:r>
      <w:hyperlink r:id="rId7" w:history="1">
        <w:r w:rsidR="00670FC2" w:rsidRPr="00670FC2">
          <w:rPr>
            <w:rStyle w:val="Lienhypertexte"/>
            <w:sz w:val="16"/>
            <w:szCs w:val="16"/>
          </w:rPr>
          <w:t>Haute Autorité de Santé - L'évaluation des établissements et services sociaux et médico-sociaux (ESSMS) (has-sante.fr)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B8E3" w14:textId="6B824190" w:rsidR="003F3FD5" w:rsidRDefault="003F3FD5">
    <w:pPr>
      <w:pStyle w:val="En-tte"/>
    </w:pPr>
    <w:r>
      <w:rPr>
        <w:noProof/>
      </w:rPr>
      <w:pict w14:anchorId="782CD8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813094" o:spid="_x0000_s2050" type="#_x0000_t136" style="position:absolute;margin-left:0;margin-top:0;width:578.55pt;height:60.9pt;rotation:315;z-index:-251654143;mso-position-horizontal:center;mso-position-horizontal-relative:margin;mso-position-vertical:center;mso-position-vertical-relative:margin" o:allowincell="f" fillcolor="silver" stroked="f">
          <v:fill opacity=".5"/>
          <v:textpath style="font-family:&quot;Arial&quot;;font-size:1pt" string="Document de travail "/>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DB40D" w14:textId="4809D768" w:rsidR="006E4354" w:rsidRPr="00263042" w:rsidRDefault="003F3FD5">
    <w:pPr>
      <w:pStyle w:val="En-tte"/>
      <w:rPr>
        <w:sz w:val="16"/>
        <w:szCs w:val="16"/>
      </w:rPr>
    </w:pPr>
    <w:r w:rsidRPr="0076569A">
      <w:rPr>
        <w:noProof/>
        <w:sz w:val="20"/>
        <w:szCs w:val="20"/>
      </w:rPr>
      <w:pict w14:anchorId="63A4E5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813095" o:spid="_x0000_s2051" type="#_x0000_t136" style="position:absolute;margin-left:0;margin-top:0;width:578.55pt;height:60.9pt;rotation:315;z-index:-251652095;mso-position-horizontal:center;mso-position-horizontal-relative:margin;mso-position-vertical:center;mso-position-vertical-relative:margin" o:allowincell="f" fillcolor="silver" stroked="f">
          <v:fill opacity=".5"/>
          <v:textpath style="font-family:&quot;Arial&quot;;font-size:1pt" string="Document de travail "/>
        </v:shape>
      </w:pict>
    </w:r>
    <w:r w:rsidR="006E4354" w:rsidRPr="0076569A">
      <w:rPr>
        <w:noProof/>
        <w:sz w:val="20"/>
        <w:szCs w:val="20"/>
      </w:rPr>
      <w:drawing>
        <wp:anchor distT="0" distB="0" distL="114300" distR="114300" simplePos="0" relativeHeight="251658241" behindDoc="0" locked="0" layoutInCell="1" allowOverlap="1" wp14:anchorId="29775938" wp14:editId="01FD44E1">
          <wp:simplePos x="0" y="0"/>
          <wp:positionH relativeFrom="column">
            <wp:posOffset>4857292</wp:posOffset>
          </wp:positionH>
          <wp:positionV relativeFrom="paragraph">
            <wp:posOffset>-205740</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6E4354" w:rsidRPr="0076569A">
      <w:rPr>
        <w:sz w:val="20"/>
        <w:szCs w:val="20"/>
      </w:rPr>
      <w:t xml:space="preserve">Document </w:t>
    </w:r>
    <w:r w:rsidR="00263042" w:rsidRPr="0076569A">
      <w:rPr>
        <w:sz w:val="20"/>
        <w:szCs w:val="20"/>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D8738" w14:textId="71A9E550" w:rsidR="003F3FD5" w:rsidRDefault="003F3FD5">
    <w:pPr>
      <w:pStyle w:val="En-tte"/>
    </w:pPr>
    <w:r>
      <w:rPr>
        <w:noProof/>
      </w:rPr>
      <w:pict w14:anchorId="414E3D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813093" o:spid="_x0000_s2049" type="#_x0000_t136" style="position:absolute;margin-left:0;margin-top:0;width:578.55pt;height:60.9pt;rotation:315;z-index:-251656191;mso-position-horizontal:center;mso-position-horizontal-relative:margin;mso-position-vertical:center;mso-position-vertical-relative:margin" o:allowincell="f" fillcolor="silver" stroked="f">
          <v:fill opacity=".5"/>
          <v:textpath style="font-family:&quot;Arial&quot;;font-size:1pt" string="Document de travail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4FD"/>
    <w:multiLevelType w:val="hybridMultilevel"/>
    <w:tmpl w:val="5E88EA4A"/>
    <w:lvl w:ilvl="0" w:tplc="C47A340A">
      <w:start w:val="1"/>
      <w:numFmt w:val="bullet"/>
      <w:lvlText w:val=""/>
      <w:lvlJc w:val="left"/>
      <w:pPr>
        <w:ind w:left="360" w:hanging="360"/>
      </w:pPr>
      <w:rPr>
        <w:rFonts w:ascii="Symbol" w:hAnsi="Symbol" w:hint="default"/>
        <w:color w:val="C00000"/>
      </w:rPr>
    </w:lvl>
    <w:lvl w:ilvl="1" w:tplc="1B5020B6">
      <w:start w:val="1"/>
      <w:numFmt w:val="bullet"/>
      <w:lvlText w:val="o"/>
      <w:lvlJc w:val="left"/>
      <w:pPr>
        <w:ind w:left="1080" w:hanging="360"/>
      </w:pPr>
      <w:rPr>
        <w:rFonts w:ascii="Courier New" w:hAnsi="Courier New" w:hint="default"/>
      </w:rPr>
    </w:lvl>
    <w:lvl w:ilvl="2" w:tplc="2FB0F84A">
      <w:start w:val="1"/>
      <w:numFmt w:val="bullet"/>
      <w:lvlText w:val=""/>
      <w:lvlJc w:val="left"/>
      <w:pPr>
        <w:ind w:left="1800" w:hanging="360"/>
      </w:pPr>
      <w:rPr>
        <w:rFonts w:ascii="Wingdings" w:hAnsi="Wingdings" w:hint="default"/>
      </w:rPr>
    </w:lvl>
    <w:lvl w:ilvl="3" w:tplc="ED207EBE">
      <w:start w:val="1"/>
      <w:numFmt w:val="bullet"/>
      <w:lvlText w:val=""/>
      <w:lvlJc w:val="left"/>
      <w:pPr>
        <w:ind w:left="2520" w:hanging="360"/>
      </w:pPr>
      <w:rPr>
        <w:rFonts w:ascii="Symbol" w:hAnsi="Symbol" w:hint="default"/>
      </w:rPr>
    </w:lvl>
    <w:lvl w:ilvl="4" w:tplc="C52CDB62">
      <w:start w:val="1"/>
      <w:numFmt w:val="bullet"/>
      <w:lvlText w:val="o"/>
      <w:lvlJc w:val="left"/>
      <w:pPr>
        <w:ind w:left="3240" w:hanging="360"/>
      </w:pPr>
      <w:rPr>
        <w:rFonts w:ascii="Courier New" w:hAnsi="Courier New" w:hint="default"/>
      </w:rPr>
    </w:lvl>
    <w:lvl w:ilvl="5" w:tplc="FC62C618">
      <w:start w:val="1"/>
      <w:numFmt w:val="bullet"/>
      <w:lvlText w:val=""/>
      <w:lvlJc w:val="left"/>
      <w:pPr>
        <w:ind w:left="3960" w:hanging="360"/>
      </w:pPr>
      <w:rPr>
        <w:rFonts w:ascii="Wingdings" w:hAnsi="Wingdings" w:hint="default"/>
      </w:rPr>
    </w:lvl>
    <w:lvl w:ilvl="6" w:tplc="37E0E0AA">
      <w:start w:val="1"/>
      <w:numFmt w:val="bullet"/>
      <w:lvlText w:val=""/>
      <w:lvlJc w:val="left"/>
      <w:pPr>
        <w:ind w:left="4680" w:hanging="360"/>
      </w:pPr>
      <w:rPr>
        <w:rFonts w:ascii="Symbol" w:hAnsi="Symbol" w:hint="default"/>
      </w:rPr>
    </w:lvl>
    <w:lvl w:ilvl="7" w:tplc="5EFE8FCC">
      <w:start w:val="1"/>
      <w:numFmt w:val="bullet"/>
      <w:lvlText w:val="o"/>
      <w:lvlJc w:val="left"/>
      <w:pPr>
        <w:ind w:left="5400" w:hanging="360"/>
      </w:pPr>
      <w:rPr>
        <w:rFonts w:ascii="Courier New" w:hAnsi="Courier New" w:hint="default"/>
      </w:rPr>
    </w:lvl>
    <w:lvl w:ilvl="8" w:tplc="1804A35A">
      <w:start w:val="1"/>
      <w:numFmt w:val="bullet"/>
      <w:lvlText w:val=""/>
      <w:lvlJc w:val="left"/>
      <w:pPr>
        <w:ind w:left="6120" w:hanging="360"/>
      </w:pPr>
      <w:rPr>
        <w:rFonts w:ascii="Wingdings" w:hAnsi="Wingdings" w:hint="default"/>
      </w:rPr>
    </w:lvl>
  </w:abstractNum>
  <w:abstractNum w:abstractNumId="1" w15:restartNumberingAfterBreak="0">
    <w:nsid w:val="00087192"/>
    <w:multiLevelType w:val="hybridMultilevel"/>
    <w:tmpl w:val="94AAE5D2"/>
    <w:lvl w:ilvl="0" w:tplc="2F903114">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B90FEC"/>
    <w:multiLevelType w:val="hybridMultilevel"/>
    <w:tmpl w:val="E8D84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058C8"/>
    <w:multiLevelType w:val="hybridMultilevel"/>
    <w:tmpl w:val="6754683E"/>
    <w:lvl w:ilvl="0" w:tplc="AD565C02">
      <w:start w:val="1"/>
      <w:numFmt w:val="bullet"/>
      <w:lvlText w:val="•"/>
      <w:lvlJc w:val="left"/>
      <w:pPr>
        <w:tabs>
          <w:tab w:val="num" w:pos="720"/>
        </w:tabs>
        <w:ind w:left="720" w:hanging="360"/>
      </w:pPr>
      <w:rPr>
        <w:rFonts w:ascii="Times New Roman" w:hAnsi="Times New Roman" w:hint="default"/>
      </w:rPr>
    </w:lvl>
    <w:lvl w:ilvl="1" w:tplc="495E1390" w:tentative="1">
      <w:start w:val="1"/>
      <w:numFmt w:val="bullet"/>
      <w:lvlText w:val="•"/>
      <w:lvlJc w:val="left"/>
      <w:pPr>
        <w:tabs>
          <w:tab w:val="num" w:pos="1440"/>
        </w:tabs>
        <w:ind w:left="1440" w:hanging="360"/>
      </w:pPr>
      <w:rPr>
        <w:rFonts w:ascii="Times New Roman" w:hAnsi="Times New Roman" w:hint="default"/>
      </w:rPr>
    </w:lvl>
    <w:lvl w:ilvl="2" w:tplc="02D63452" w:tentative="1">
      <w:start w:val="1"/>
      <w:numFmt w:val="bullet"/>
      <w:lvlText w:val="•"/>
      <w:lvlJc w:val="left"/>
      <w:pPr>
        <w:tabs>
          <w:tab w:val="num" w:pos="2160"/>
        </w:tabs>
        <w:ind w:left="2160" w:hanging="360"/>
      </w:pPr>
      <w:rPr>
        <w:rFonts w:ascii="Times New Roman" w:hAnsi="Times New Roman" w:hint="default"/>
      </w:rPr>
    </w:lvl>
    <w:lvl w:ilvl="3" w:tplc="82E4F1FA" w:tentative="1">
      <w:start w:val="1"/>
      <w:numFmt w:val="bullet"/>
      <w:lvlText w:val="•"/>
      <w:lvlJc w:val="left"/>
      <w:pPr>
        <w:tabs>
          <w:tab w:val="num" w:pos="2880"/>
        </w:tabs>
        <w:ind w:left="2880" w:hanging="360"/>
      </w:pPr>
      <w:rPr>
        <w:rFonts w:ascii="Times New Roman" w:hAnsi="Times New Roman" w:hint="default"/>
      </w:rPr>
    </w:lvl>
    <w:lvl w:ilvl="4" w:tplc="82D0DE74" w:tentative="1">
      <w:start w:val="1"/>
      <w:numFmt w:val="bullet"/>
      <w:lvlText w:val="•"/>
      <w:lvlJc w:val="left"/>
      <w:pPr>
        <w:tabs>
          <w:tab w:val="num" w:pos="3600"/>
        </w:tabs>
        <w:ind w:left="3600" w:hanging="360"/>
      </w:pPr>
      <w:rPr>
        <w:rFonts w:ascii="Times New Roman" w:hAnsi="Times New Roman" w:hint="default"/>
      </w:rPr>
    </w:lvl>
    <w:lvl w:ilvl="5" w:tplc="870C55A8" w:tentative="1">
      <w:start w:val="1"/>
      <w:numFmt w:val="bullet"/>
      <w:lvlText w:val="•"/>
      <w:lvlJc w:val="left"/>
      <w:pPr>
        <w:tabs>
          <w:tab w:val="num" w:pos="4320"/>
        </w:tabs>
        <w:ind w:left="4320" w:hanging="360"/>
      </w:pPr>
      <w:rPr>
        <w:rFonts w:ascii="Times New Roman" w:hAnsi="Times New Roman" w:hint="default"/>
      </w:rPr>
    </w:lvl>
    <w:lvl w:ilvl="6" w:tplc="6F660926" w:tentative="1">
      <w:start w:val="1"/>
      <w:numFmt w:val="bullet"/>
      <w:lvlText w:val="•"/>
      <w:lvlJc w:val="left"/>
      <w:pPr>
        <w:tabs>
          <w:tab w:val="num" w:pos="5040"/>
        </w:tabs>
        <w:ind w:left="5040" w:hanging="360"/>
      </w:pPr>
      <w:rPr>
        <w:rFonts w:ascii="Times New Roman" w:hAnsi="Times New Roman" w:hint="default"/>
      </w:rPr>
    </w:lvl>
    <w:lvl w:ilvl="7" w:tplc="4E903952" w:tentative="1">
      <w:start w:val="1"/>
      <w:numFmt w:val="bullet"/>
      <w:lvlText w:val="•"/>
      <w:lvlJc w:val="left"/>
      <w:pPr>
        <w:tabs>
          <w:tab w:val="num" w:pos="5760"/>
        </w:tabs>
        <w:ind w:left="5760" w:hanging="360"/>
      </w:pPr>
      <w:rPr>
        <w:rFonts w:ascii="Times New Roman" w:hAnsi="Times New Roman" w:hint="default"/>
      </w:rPr>
    </w:lvl>
    <w:lvl w:ilvl="8" w:tplc="754EC2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BCC2356"/>
    <w:multiLevelType w:val="hybridMultilevel"/>
    <w:tmpl w:val="CB8A108A"/>
    <w:lvl w:ilvl="0" w:tplc="C1D0FDC4">
      <w:start w:val="1"/>
      <w:numFmt w:val="bullet"/>
      <w:lvlText w:val="-"/>
      <w:lvlJc w:val="left"/>
      <w:pPr>
        <w:ind w:left="360" w:hanging="360"/>
      </w:pPr>
      <w:rPr>
        <w:rFonts w:ascii="Calibri" w:hAnsi="Calibri" w:hint="default"/>
      </w:rPr>
    </w:lvl>
    <w:lvl w:ilvl="1" w:tplc="E5C43E90">
      <w:start w:val="1"/>
      <w:numFmt w:val="bullet"/>
      <w:lvlText w:val="o"/>
      <w:lvlJc w:val="left"/>
      <w:pPr>
        <w:ind w:left="1080" w:hanging="360"/>
      </w:pPr>
      <w:rPr>
        <w:rFonts w:ascii="Courier New" w:hAnsi="Courier New" w:hint="default"/>
      </w:rPr>
    </w:lvl>
    <w:lvl w:ilvl="2" w:tplc="845C4F7A">
      <w:start w:val="1"/>
      <w:numFmt w:val="bullet"/>
      <w:lvlText w:val=""/>
      <w:lvlJc w:val="left"/>
      <w:pPr>
        <w:ind w:left="1800" w:hanging="360"/>
      </w:pPr>
      <w:rPr>
        <w:rFonts w:ascii="Wingdings" w:hAnsi="Wingdings" w:hint="default"/>
      </w:rPr>
    </w:lvl>
    <w:lvl w:ilvl="3" w:tplc="76925288">
      <w:start w:val="1"/>
      <w:numFmt w:val="bullet"/>
      <w:lvlText w:val=""/>
      <w:lvlJc w:val="left"/>
      <w:pPr>
        <w:ind w:left="2520" w:hanging="360"/>
      </w:pPr>
      <w:rPr>
        <w:rFonts w:ascii="Symbol" w:hAnsi="Symbol" w:hint="default"/>
      </w:rPr>
    </w:lvl>
    <w:lvl w:ilvl="4" w:tplc="AC7CA748">
      <w:start w:val="1"/>
      <w:numFmt w:val="bullet"/>
      <w:lvlText w:val="o"/>
      <w:lvlJc w:val="left"/>
      <w:pPr>
        <w:ind w:left="3240" w:hanging="360"/>
      </w:pPr>
      <w:rPr>
        <w:rFonts w:ascii="Courier New" w:hAnsi="Courier New" w:hint="default"/>
      </w:rPr>
    </w:lvl>
    <w:lvl w:ilvl="5" w:tplc="FD96E756">
      <w:start w:val="1"/>
      <w:numFmt w:val="bullet"/>
      <w:lvlText w:val=""/>
      <w:lvlJc w:val="left"/>
      <w:pPr>
        <w:ind w:left="3960" w:hanging="360"/>
      </w:pPr>
      <w:rPr>
        <w:rFonts w:ascii="Wingdings" w:hAnsi="Wingdings" w:hint="default"/>
      </w:rPr>
    </w:lvl>
    <w:lvl w:ilvl="6" w:tplc="56D6BF96">
      <w:start w:val="1"/>
      <w:numFmt w:val="bullet"/>
      <w:lvlText w:val=""/>
      <w:lvlJc w:val="left"/>
      <w:pPr>
        <w:ind w:left="4680" w:hanging="360"/>
      </w:pPr>
      <w:rPr>
        <w:rFonts w:ascii="Symbol" w:hAnsi="Symbol" w:hint="default"/>
      </w:rPr>
    </w:lvl>
    <w:lvl w:ilvl="7" w:tplc="62944AF0">
      <w:start w:val="1"/>
      <w:numFmt w:val="bullet"/>
      <w:lvlText w:val="o"/>
      <w:lvlJc w:val="left"/>
      <w:pPr>
        <w:ind w:left="5400" w:hanging="360"/>
      </w:pPr>
      <w:rPr>
        <w:rFonts w:ascii="Courier New" w:hAnsi="Courier New" w:hint="default"/>
      </w:rPr>
    </w:lvl>
    <w:lvl w:ilvl="8" w:tplc="4454DEA8">
      <w:start w:val="1"/>
      <w:numFmt w:val="bullet"/>
      <w:lvlText w:val=""/>
      <w:lvlJc w:val="left"/>
      <w:pPr>
        <w:ind w:left="6120" w:hanging="360"/>
      </w:pPr>
      <w:rPr>
        <w:rFonts w:ascii="Wingdings" w:hAnsi="Wingdings" w:hint="default"/>
      </w:rPr>
    </w:lvl>
  </w:abstractNum>
  <w:abstractNum w:abstractNumId="5" w15:restartNumberingAfterBreak="0">
    <w:nsid w:val="216028BF"/>
    <w:multiLevelType w:val="hybridMultilevel"/>
    <w:tmpl w:val="18F00684"/>
    <w:lvl w:ilvl="0" w:tplc="6BA29E42">
      <w:start w:val="1"/>
      <w:numFmt w:val="bullet"/>
      <w:lvlText w:val=""/>
      <w:lvlJc w:val="left"/>
      <w:pPr>
        <w:ind w:left="360" w:hanging="360"/>
      </w:pPr>
      <w:rPr>
        <w:rFonts w:ascii="Symbol" w:hAnsi="Symbol" w:hint="default"/>
        <w:color w:val="C00000"/>
      </w:rPr>
    </w:lvl>
    <w:lvl w:ilvl="1" w:tplc="74C08C5E">
      <w:start w:val="1"/>
      <w:numFmt w:val="bullet"/>
      <w:lvlText w:val="o"/>
      <w:lvlJc w:val="left"/>
      <w:pPr>
        <w:ind w:left="1080" w:hanging="360"/>
      </w:pPr>
      <w:rPr>
        <w:rFonts w:ascii="Courier New" w:hAnsi="Courier New" w:hint="default"/>
      </w:rPr>
    </w:lvl>
    <w:lvl w:ilvl="2" w:tplc="9BC2DFA4">
      <w:start w:val="1"/>
      <w:numFmt w:val="bullet"/>
      <w:lvlText w:val=""/>
      <w:lvlJc w:val="left"/>
      <w:pPr>
        <w:ind w:left="1800" w:hanging="360"/>
      </w:pPr>
      <w:rPr>
        <w:rFonts w:ascii="Wingdings" w:hAnsi="Wingdings" w:hint="default"/>
      </w:rPr>
    </w:lvl>
    <w:lvl w:ilvl="3" w:tplc="54EC4EDA">
      <w:start w:val="1"/>
      <w:numFmt w:val="bullet"/>
      <w:lvlText w:val=""/>
      <w:lvlJc w:val="left"/>
      <w:pPr>
        <w:ind w:left="2520" w:hanging="360"/>
      </w:pPr>
      <w:rPr>
        <w:rFonts w:ascii="Symbol" w:hAnsi="Symbol" w:hint="default"/>
      </w:rPr>
    </w:lvl>
    <w:lvl w:ilvl="4" w:tplc="8D0EBFC6">
      <w:start w:val="1"/>
      <w:numFmt w:val="bullet"/>
      <w:lvlText w:val="o"/>
      <w:lvlJc w:val="left"/>
      <w:pPr>
        <w:ind w:left="3240" w:hanging="360"/>
      </w:pPr>
      <w:rPr>
        <w:rFonts w:ascii="Courier New" w:hAnsi="Courier New" w:hint="default"/>
      </w:rPr>
    </w:lvl>
    <w:lvl w:ilvl="5" w:tplc="A3E892F4">
      <w:start w:val="1"/>
      <w:numFmt w:val="bullet"/>
      <w:lvlText w:val=""/>
      <w:lvlJc w:val="left"/>
      <w:pPr>
        <w:ind w:left="3960" w:hanging="360"/>
      </w:pPr>
      <w:rPr>
        <w:rFonts w:ascii="Wingdings" w:hAnsi="Wingdings" w:hint="default"/>
      </w:rPr>
    </w:lvl>
    <w:lvl w:ilvl="6" w:tplc="0E90F4DE">
      <w:start w:val="1"/>
      <w:numFmt w:val="bullet"/>
      <w:lvlText w:val=""/>
      <w:lvlJc w:val="left"/>
      <w:pPr>
        <w:ind w:left="4680" w:hanging="360"/>
      </w:pPr>
      <w:rPr>
        <w:rFonts w:ascii="Symbol" w:hAnsi="Symbol" w:hint="default"/>
      </w:rPr>
    </w:lvl>
    <w:lvl w:ilvl="7" w:tplc="69AEBCAC">
      <w:start w:val="1"/>
      <w:numFmt w:val="bullet"/>
      <w:lvlText w:val="o"/>
      <w:lvlJc w:val="left"/>
      <w:pPr>
        <w:ind w:left="5400" w:hanging="360"/>
      </w:pPr>
      <w:rPr>
        <w:rFonts w:ascii="Courier New" w:hAnsi="Courier New" w:hint="default"/>
      </w:rPr>
    </w:lvl>
    <w:lvl w:ilvl="8" w:tplc="A4F271E8">
      <w:start w:val="1"/>
      <w:numFmt w:val="bullet"/>
      <w:lvlText w:val=""/>
      <w:lvlJc w:val="left"/>
      <w:pPr>
        <w:ind w:left="6120" w:hanging="360"/>
      </w:pPr>
      <w:rPr>
        <w:rFonts w:ascii="Wingdings" w:hAnsi="Wingdings" w:hint="default"/>
      </w:rPr>
    </w:lvl>
  </w:abstractNum>
  <w:abstractNum w:abstractNumId="6" w15:restartNumberingAfterBreak="0">
    <w:nsid w:val="221111A8"/>
    <w:multiLevelType w:val="hybridMultilevel"/>
    <w:tmpl w:val="384402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A043A8"/>
    <w:multiLevelType w:val="hybridMultilevel"/>
    <w:tmpl w:val="7A42C9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E6210FD"/>
    <w:multiLevelType w:val="hybridMultilevel"/>
    <w:tmpl w:val="BB122D26"/>
    <w:lvl w:ilvl="0" w:tplc="7ACA1D6C">
      <w:start w:val="1"/>
      <w:numFmt w:val="bullet"/>
      <w:lvlText w:val="-"/>
      <w:lvlJc w:val="left"/>
      <w:pPr>
        <w:ind w:left="360" w:hanging="360"/>
      </w:pPr>
      <w:rPr>
        <w:rFonts w:ascii="Calibri" w:hAnsi="Calibri" w:hint="default"/>
      </w:rPr>
    </w:lvl>
    <w:lvl w:ilvl="1" w:tplc="049C1C3E">
      <w:start w:val="1"/>
      <w:numFmt w:val="bullet"/>
      <w:lvlText w:val="o"/>
      <w:lvlJc w:val="left"/>
      <w:pPr>
        <w:ind w:left="1080" w:hanging="360"/>
      </w:pPr>
      <w:rPr>
        <w:rFonts w:ascii="Courier New" w:hAnsi="Courier New" w:hint="default"/>
      </w:rPr>
    </w:lvl>
    <w:lvl w:ilvl="2" w:tplc="D57228B8">
      <w:start w:val="1"/>
      <w:numFmt w:val="bullet"/>
      <w:lvlText w:val=""/>
      <w:lvlJc w:val="left"/>
      <w:pPr>
        <w:ind w:left="1800" w:hanging="360"/>
      </w:pPr>
      <w:rPr>
        <w:rFonts w:ascii="Wingdings" w:hAnsi="Wingdings" w:hint="default"/>
      </w:rPr>
    </w:lvl>
    <w:lvl w:ilvl="3" w:tplc="74181ED2">
      <w:start w:val="1"/>
      <w:numFmt w:val="bullet"/>
      <w:lvlText w:val=""/>
      <w:lvlJc w:val="left"/>
      <w:pPr>
        <w:ind w:left="2520" w:hanging="360"/>
      </w:pPr>
      <w:rPr>
        <w:rFonts w:ascii="Symbol" w:hAnsi="Symbol" w:hint="default"/>
      </w:rPr>
    </w:lvl>
    <w:lvl w:ilvl="4" w:tplc="EA509500">
      <w:start w:val="1"/>
      <w:numFmt w:val="bullet"/>
      <w:lvlText w:val="o"/>
      <w:lvlJc w:val="left"/>
      <w:pPr>
        <w:ind w:left="3240" w:hanging="360"/>
      </w:pPr>
      <w:rPr>
        <w:rFonts w:ascii="Courier New" w:hAnsi="Courier New" w:hint="default"/>
      </w:rPr>
    </w:lvl>
    <w:lvl w:ilvl="5" w:tplc="C7220770">
      <w:start w:val="1"/>
      <w:numFmt w:val="bullet"/>
      <w:lvlText w:val=""/>
      <w:lvlJc w:val="left"/>
      <w:pPr>
        <w:ind w:left="3960" w:hanging="360"/>
      </w:pPr>
      <w:rPr>
        <w:rFonts w:ascii="Wingdings" w:hAnsi="Wingdings" w:hint="default"/>
      </w:rPr>
    </w:lvl>
    <w:lvl w:ilvl="6" w:tplc="A5DA226C">
      <w:start w:val="1"/>
      <w:numFmt w:val="bullet"/>
      <w:lvlText w:val=""/>
      <w:lvlJc w:val="left"/>
      <w:pPr>
        <w:ind w:left="4680" w:hanging="360"/>
      </w:pPr>
      <w:rPr>
        <w:rFonts w:ascii="Symbol" w:hAnsi="Symbol" w:hint="default"/>
      </w:rPr>
    </w:lvl>
    <w:lvl w:ilvl="7" w:tplc="FB90856A">
      <w:start w:val="1"/>
      <w:numFmt w:val="bullet"/>
      <w:lvlText w:val="o"/>
      <w:lvlJc w:val="left"/>
      <w:pPr>
        <w:ind w:left="5400" w:hanging="360"/>
      </w:pPr>
      <w:rPr>
        <w:rFonts w:ascii="Courier New" w:hAnsi="Courier New" w:hint="default"/>
      </w:rPr>
    </w:lvl>
    <w:lvl w:ilvl="8" w:tplc="CAB07BDE">
      <w:start w:val="1"/>
      <w:numFmt w:val="bullet"/>
      <w:lvlText w:val=""/>
      <w:lvlJc w:val="left"/>
      <w:pPr>
        <w:ind w:left="6120" w:hanging="360"/>
      </w:pPr>
      <w:rPr>
        <w:rFonts w:ascii="Wingdings" w:hAnsi="Wingdings" w:hint="default"/>
      </w:rPr>
    </w:lvl>
  </w:abstractNum>
  <w:abstractNum w:abstractNumId="9" w15:restartNumberingAfterBreak="0">
    <w:nsid w:val="387B0D28"/>
    <w:multiLevelType w:val="hybridMultilevel"/>
    <w:tmpl w:val="384402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B0B98"/>
    <w:multiLevelType w:val="hybridMultilevel"/>
    <w:tmpl w:val="139E0802"/>
    <w:lvl w:ilvl="0" w:tplc="FFFFFFFF">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4E2887"/>
    <w:multiLevelType w:val="hybridMultilevel"/>
    <w:tmpl w:val="209EC2B0"/>
    <w:lvl w:ilvl="0" w:tplc="7B2CE4DA">
      <w:start w:val="1"/>
      <w:numFmt w:val="bullet"/>
      <w:lvlText w:val="-"/>
      <w:lvlJc w:val="left"/>
      <w:pPr>
        <w:ind w:left="360" w:hanging="360"/>
      </w:pPr>
      <w:rPr>
        <w:rFonts w:ascii="Calibri" w:hAnsi="Calibri" w:hint="default"/>
      </w:rPr>
    </w:lvl>
    <w:lvl w:ilvl="1" w:tplc="1B5020B6">
      <w:start w:val="1"/>
      <w:numFmt w:val="bullet"/>
      <w:lvlText w:val="o"/>
      <w:lvlJc w:val="left"/>
      <w:pPr>
        <w:ind w:left="1080" w:hanging="360"/>
      </w:pPr>
      <w:rPr>
        <w:rFonts w:ascii="Courier New" w:hAnsi="Courier New" w:hint="default"/>
      </w:rPr>
    </w:lvl>
    <w:lvl w:ilvl="2" w:tplc="2FB0F84A">
      <w:start w:val="1"/>
      <w:numFmt w:val="bullet"/>
      <w:lvlText w:val=""/>
      <w:lvlJc w:val="left"/>
      <w:pPr>
        <w:ind w:left="1800" w:hanging="360"/>
      </w:pPr>
      <w:rPr>
        <w:rFonts w:ascii="Wingdings" w:hAnsi="Wingdings" w:hint="default"/>
      </w:rPr>
    </w:lvl>
    <w:lvl w:ilvl="3" w:tplc="ED207EBE">
      <w:start w:val="1"/>
      <w:numFmt w:val="bullet"/>
      <w:lvlText w:val=""/>
      <w:lvlJc w:val="left"/>
      <w:pPr>
        <w:ind w:left="2520" w:hanging="360"/>
      </w:pPr>
      <w:rPr>
        <w:rFonts w:ascii="Symbol" w:hAnsi="Symbol" w:hint="default"/>
      </w:rPr>
    </w:lvl>
    <w:lvl w:ilvl="4" w:tplc="C52CDB62">
      <w:start w:val="1"/>
      <w:numFmt w:val="bullet"/>
      <w:lvlText w:val="o"/>
      <w:lvlJc w:val="left"/>
      <w:pPr>
        <w:ind w:left="3240" w:hanging="360"/>
      </w:pPr>
      <w:rPr>
        <w:rFonts w:ascii="Courier New" w:hAnsi="Courier New" w:hint="default"/>
      </w:rPr>
    </w:lvl>
    <w:lvl w:ilvl="5" w:tplc="FC62C618">
      <w:start w:val="1"/>
      <w:numFmt w:val="bullet"/>
      <w:lvlText w:val=""/>
      <w:lvlJc w:val="left"/>
      <w:pPr>
        <w:ind w:left="3960" w:hanging="360"/>
      </w:pPr>
      <w:rPr>
        <w:rFonts w:ascii="Wingdings" w:hAnsi="Wingdings" w:hint="default"/>
      </w:rPr>
    </w:lvl>
    <w:lvl w:ilvl="6" w:tplc="37E0E0AA">
      <w:start w:val="1"/>
      <w:numFmt w:val="bullet"/>
      <w:lvlText w:val=""/>
      <w:lvlJc w:val="left"/>
      <w:pPr>
        <w:ind w:left="4680" w:hanging="360"/>
      </w:pPr>
      <w:rPr>
        <w:rFonts w:ascii="Symbol" w:hAnsi="Symbol" w:hint="default"/>
      </w:rPr>
    </w:lvl>
    <w:lvl w:ilvl="7" w:tplc="5EFE8FCC">
      <w:start w:val="1"/>
      <w:numFmt w:val="bullet"/>
      <w:lvlText w:val="o"/>
      <w:lvlJc w:val="left"/>
      <w:pPr>
        <w:ind w:left="5400" w:hanging="360"/>
      </w:pPr>
      <w:rPr>
        <w:rFonts w:ascii="Courier New" w:hAnsi="Courier New" w:hint="default"/>
      </w:rPr>
    </w:lvl>
    <w:lvl w:ilvl="8" w:tplc="1804A35A">
      <w:start w:val="1"/>
      <w:numFmt w:val="bullet"/>
      <w:lvlText w:val=""/>
      <w:lvlJc w:val="left"/>
      <w:pPr>
        <w:ind w:left="6120" w:hanging="360"/>
      </w:pPr>
      <w:rPr>
        <w:rFonts w:ascii="Wingdings" w:hAnsi="Wingdings" w:hint="default"/>
      </w:rPr>
    </w:lvl>
  </w:abstractNum>
  <w:abstractNum w:abstractNumId="13" w15:restartNumberingAfterBreak="0">
    <w:nsid w:val="4BB4064E"/>
    <w:multiLevelType w:val="hybridMultilevel"/>
    <w:tmpl w:val="3FCE4A04"/>
    <w:lvl w:ilvl="0" w:tplc="FAA08B56">
      <w:start w:val="1"/>
      <w:numFmt w:val="bullet"/>
      <w:lvlText w:val="-"/>
      <w:lvlJc w:val="left"/>
      <w:pPr>
        <w:ind w:left="360" w:hanging="360"/>
      </w:pPr>
      <w:rPr>
        <w:rFonts w:ascii="Calibri" w:hAnsi="Calibri" w:hint="default"/>
      </w:rPr>
    </w:lvl>
    <w:lvl w:ilvl="1" w:tplc="C218AEE8">
      <w:start w:val="1"/>
      <w:numFmt w:val="bullet"/>
      <w:lvlText w:val="o"/>
      <w:lvlJc w:val="left"/>
      <w:pPr>
        <w:ind w:left="1080" w:hanging="360"/>
      </w:pPr>
      <w:rPr>
        <w:rFonts w:ascii="Courier New" w:hAnsi="Courier New" w:hint="default"/>
      </w:rPr>
    </w:lvl>
    <w:lvl w:ilvl="2" w:tplc="AAEC9AE8">
      <w:start w:val="1"/>
      <w:numFmt w:val="bullet"/>
      <w:lvlText w:val=""/>
      <w:lvlJc w:val="left"/>
      <w:pPr>
        <w:ind w:left="1800" w:hanging="360"/>
      </w:pPr>
      <w:rPr>
        <w:rFonts w:ascii="Wingdings" w:hAnsi="Wingdings" w:hint="default"/>
      </w:rPr>
    </w:lvl>
    <w:lvl w:ilvl="3" w:tplc="6504BA0C">
      <w:start w:val="1"/>
      <w:numFmt w:val="bullet"/>
      <w:lvlText w:val=""/>
      <w:lvlJc w:val="left"/>
      <w:pPr>
        <w:ind w:left="2520" w:hanging="360"/>
      </w:pPr>
      <w:rPr>
        <w:rFonts w:ascii="Symbol" w:hAnsi="Symbol" w:hint="default"/>
      </w:rPr>
    </w:lvl>
    <w:lvl w:ilvl="4" w:tplc="18DCF24A">
      <w:start w:val="1"/>
      <w:numFmt w:val="bullet"/>
      <w:lvlText w:val="o"/>
      <w:lvlJc w:val="left"/>
      <w:pPr>
        <w:ind w:left="3240" w:hanging="360"/>
      </w:pPr>
      <w:rPr>
        <w:rFonts w:ascii="Courier New" w:hAnsi="Courier New" w:hint="default"/>
      </w:rPr>
    </w:lvl>
    <w:lvl w:ilvl="5" w:tplc="8EC4610A">
      <w:start w:val="1"/>
      <w:numFmt w:val="bullet"/>
      <w:lvlText w:val=""/>
      <w:lvlJc w:val="left"/>
      <w:pPr>
        <w:ind w:left="3960" w:hanging="360"/>
      </w:pPr>
      <w:rPr>
        <w:rFonts w:ascii="Wingdings" w:hAnsi="Wingdings" w:hint="default"/>
      </w:rPr>
    </w:lvl>
    <w:lvl w:ilvl="6" w:tplc="48BA79B4">
      <w:start w:val="1"/>
      <w:numFmt w:val="bullet"/>
      <w:lvlText w:val=""/>
      <w:lvlJc w:val="left"/>
      <w:pPr>
        <w:ind w:left="4680" w:hanging="360"/>
      </w:pPr>
      <w:rPr>
        <w:rFonts w:ascii="Symbol" w:hAnsi="Symbol" w:hint="default"/>
      </w:rPr>
    </w:lvl>
    <w:lvl w:ilvl="7" w:tplc="8C96D73E">
      <w:start w:val="1"/>
      <w:numFmt w:val="bullet"/>
      <w:lvlText w:val="o"/>
      <w:lvlJc w:val="left"/>
      <w:pPr>
        <w:ind w:left="5400" w:hanging="360"/>
      </w:pPr>
      <w:rPr>
        <w:rFonts w:ascii="Courier New" w:hAnsi="Courier New" w:hint="default"/>
      </w:rPr>
    </w:lvl>
    <w:lvl w:ilvl="8" w:tplc="19F8B91E">
      <w:start w:val="1"/>
      <w:numFmt w:val="bullet"/>
      <w:lvlText w:val=""/>
      <w:lvlJc w:val="left"/>
      <w:pPr>
        <w:ind w:left="6120" w:hanging="360"/>
      </w:pPr>
      <w:rPr>
        <w:rFonts w:ascii="Wingdings" w:hAnsi="Wingdings" w:hint="default"/>
      </w:rPr>
    </w:lvl>
  </w:abstractNum>
  <w:abstractNum w:abstractNumId="14" w15:restartNumberingAfterBreak="0">
    <w:nsid w:val="51FF5FD6"/>
    <w:multiLevelType w:val="hybridMultilevel"/>
    <w:tmpl w:val="DA82472A"/>
    <w:lvl w:ilvl="0" w:tplc="040C000B">
      <w:start w:val="1"/>
      <w:numFmt w:val="bullet"/>
      <w:lvlText w:val=""/>
      <w:lvlJc w:val="left"/>
      <w:pPr>
        <w:tabs>
          <w:tab w:val="num" w:pos="720"/>
        </w:tabs>
        <w:ind w:left="720" w:hanging="360"/>
      </w:pPr>
      <w:rPr>
        <w:rFonts w:ascii="Wingdings" w:hAnsi="Wingdings" w:hint="default"/>
      </w:rPr>
    </w:lvl>
    <w:lvl w:ilvl="1" w:tplc="495E1390" w:tentative="1">
      <w:start w:val="1"/>
      <w:numFmt w:val="bullet"/>
      <w:lvlText w:val="•"/>
      <w:lvlJc w:val="left"/>
      <w:pPr>
        <w:tabs>
          <w:tab w:val="num" w:pos="1440"/>
        </w:tabs>
        <w:ind w:left="1440" w:hanging="360"/>
      </w:pPr>
      <w:rPr>
        <w:rFonts w:ascii="Times New Roman" w:hAnsi="Times New Roman" w:hint="default"/>
      </w:rPr>
    </w:lvl>
    <w:lvl w:ilvl="2" w:tplc="02D63452" w:tentative="1">
      <w:start w:val="1"/>
      <w:numFmt w:val="bullet"/>
      <w:lvlText w:val="•"/>
      <w:lvlJc w:val="left"/>
      <w:pPr>
        <w:tabs>
          <w:tab w:val="num" w:pos="2160"/>
        </w:tabs>
        <w:ind w:left="2160" w:hanging="360"/>
      </w:pPr>
      <w:rPr>
        <w:rFonts w:ascii="Times New Roman" w:hAnsi="Times New Roman" w:hint="default"/>
      </w:rPr>
    </w:lvl>
    <w:lvl w:ilvl="3" w:tplc="82E4F1FA" w:tentative="1">
      <w:start w:val="1"/>
      <w:numFmt w:val="bullet"/>
      <w:lvlText w:val="•"/>
      <w:lvlJc w:val="left"/>
      <w:pPr>
        <w:tabs>
          <w:tab w:val="num" w:pos="2880"/>
        </w:tabs>
        <w:ind w:left="2880" w:hanging="360"/>
      </w:pPr>
      <w:rPr>
        <w:rFonts w:ascii="Times New Roman" w:hAnsi="Times New Roman" w:hint="default"/>
      </w:rPr>
    </w:lvl>
    <w:lvl w:ilvl="4" w:tplc="82D0DE74" w:tentative="1">
      <w:start w:val="1"/>
      <w:numFmt w:val="bullet"/>
      <w:lvlText w:val="•"/>
      <w:lvlJc w:val="left"/>
      <w:pPr>
        <w:tabs>
          <w:tab w:val="num" w:pos="3600"/>
        </w:tabs>
        <w:ind w:left="3600" w:hanging="360"/>
      </w:pPr>
      <w:rPr>
        <w:rFonts w:ascii="Times New Roman" w:hAnsi="Times New Roman" w:hint="default"/>
      </w:rPr>
    </w:lvl>
    <w:lvl w:ilvl="5" w:tplc="870C55A8" w:tentative="1">
      <w:start w:val="1"/>
      <w:numFmt w:val="bullet"/>
      <w:lvlText w:val="•"/>
      <w:lvlJc w:val="left"/>
      <w:pPr>
        <w:tabs>
          <w:tab w:val="num" w:pos="4320"/>
        </w:tabs>
        <w:ind w:left="4320" w:hanging="360"/>
      </w:pPr>
      <w:rPr>
        <w:rFonts w:ascii="Times New Roman" w:hAnsi="Times New Roman" w:hint="default"/>
      </w:rPr>
    </w:lvl>
    <w:lvl w:ilvl="6" w:tplc="6F660926" w:tentative="1">
      <w:start w:val="1"/>
      <w:numFmt w:val="bullet"/>
      <w:lvlText w:val="•"/>
      <w:lvlJc w:val="left"/>
      <w:pPr>
        <w:tabs>
          <w:tab w:val="num" w:pos="5040"/>
        </w:tabs>
        <w:ind w:left="5040" w:hanging="360"/>
      </w:pPr>
      <w:rPr>
        <w:rFonts w:ascii="Times New Roman" w:hAnsi="Times New Roman" w:hint="default"/>
      </w:rPr>
    </w:lvl>
    <w:lvl w:ilvl="7" w:tplc="4E903952" w:tentative="1">
      <w:start w:val="1"/>
      <w:numFmt w:val="bullet"/>
      <w:lvlText w:val="•"/>
      <w:lvlJc w:val="left"/>
      <w:pPr>
        <w:tabs>
          <w:tab w:val="num" w:pos="5760"/>
        </w:tabs>
        <w:ind w:left="5760" w:hanging="360"/>
      </w:pPr>
      <w:rPr>
        <w:rFonts w:ascii="Times New Roman" w:hAnsi="Times New Roman" w:hint="default"/>
      </w:rPr>
    </w:lvl>
    <w:lvl w:ilvl="8" w:tplc="754EC2C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2F00EDD"/>
    <w:multiLevelType w:val="hybridMultilevel"/>
    <w:tmpl w:val="ED9AC7C4"/>
    <w:lvl w:ilvl="0" w:tplc="FFFFFFFF">
      <w:start w:val="1"/>
      <w:numFmt w:val="bullet"/>
      <w:lvlText w:val="-"/>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3A112CC"/>
    <w:multiLevelType w:val="hybridMultilevel"/>
    <w:tmpl w:val="B6F09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2B7C72"/>
    <w:multiLevelType w:val="hybridMultilevel"/>
    <w:tmpl w:val="0416238C"/>
    <w:lvl w:ilvl="0" w:tplc="245C5998">
      <w:start w:val="1"/>
      <w:numFmt w:val="bullet"/>
      <w:lvlText w:val="-"/>
      <w:lvlJc w:val="left"/>
      <w:pPr>
        <w:ind w:left="720" w:hanging="360"/>
      </w:pPr>
      <w:rPr>
        <w:rFonts w:ascii="Calibri" w:hAnsi="Calibri" w:hint="default"/>
      </w:rPr>
    </w:lvl>
    <w:lvl w:ilvl="1" w:tplc="7EF04278">
      <w:start w:val="1"/>
      <w:numFmt w:val="bullet"/>
      <w:lvlText w:val="o"/>
      <w:lvlJc w:val="left"/>
      <w:pPr>
        <w:ind w:left="1440" w:hanging="360"/>
      </w:pPr>
      <w:rPr>
        <w:rFonts w:ascii="Courier New" w:hAnsi="Courier New" w:hint="default"/>
      </w:rPr>
    </w:lvl>
    <w:lvl w:ilvl="2" w:tplc="5F468C10">
      <w:start w:val="1"/>
      <w:numFmt w:val="bullet"/>
      <w:lvlText w:val=""/>
      <w:lvlJc w:val="left"/>
      <w:pPr>
        <w:ind w:left="2160" w:hanging="360"/>
      </w:pPr>
      <w:rPr>
        <w:rFonts w:ascii="Wingdings" w:hAnsi="Wingdings" w:hint="default"/>
      </w:rPr>
    </w:lvl>
    <w:lvl w:ilvl="3" w:tplc="E4AAEB04">
      <w:start w:val="1"/>
      <w:numFmt w:val="bullet"/>
      <w:lvlText w:val=""/>
      <w:lvlJc w:val="left"/>
      <w:pPr>
        <w:ind w:left="2880" w:hanging="360"/>
      </w:pPr>
      <w:rPr>
        <w:rFonts w:ascii="Symbol" w:hAnsi="Symbol" w:hint="default"/>
      </w:rPr>
    </w:lvl>
    <w:lvl w:ilvl="4" w:tplc="7678626E">
      <w:start w:val="1"/>
      <w:numFmt w:val="bullet"/>
      <w:lvlText w:val="o"/>
      <w:lvlJc w:val="left"/>
      <w:pPr>
        <w:ind w:left="3600" w:hanging="360"/>
      </w:pPr>
      <w:rPr>
        <w:rFonts w:ascii="Courier New" w:hAnsi="Courier New" w:hint="default"/>
      </w:rPr>
    </w:lvl>
    <w:lvl w:ilvl="5" w:tplc="9618A594">
      <w:start w:val="1"/>
      <w:numFmt w:val="bullet"/>
      <w:lvlText w:val=""/>
      <w:lvlJc w:val="left"/>
      <w:pPr>
        <w:ind w:left="4320" w:hanging="360"/>
      </w:pPr>
      <w:rPr>
        <w:rFonts w:ascii="Wingdings" w:hAnsi="Wingdings" w:hint="default"/>
      </w:rPr>
    </w:lvl>
    <w:lvl w:ilvl="6" w:tplc="B1A8E91A">
      <w:start w:val="1"/>
      <w:numFmt w:val="bullet"/>
      <w:lvlText w:val=""/>
      <w:lvlJc w:val="left"/>
      <w:pPr>
        <w:ind w:left="5040" w:hanging="360"/>
      </w:pPr>
      <w:rPr>
        <w:rFonts w:ascii="Symbol" w:hAnsi="Symbol" w:hint="default"/>
      </w:rPr>
    </w:lvl>
    <w:lvl w:ilvl="7" w:tplc="3836EF98">
      <w:start w:val="1"/>
      <w:numFmt w:val="bullet"/>
      <w:lvlText w:val="o"/>
      <w:lvlJc w:val="left"/>
      <w:pPr>
        <w:ind w:left="5760" w:hanging="360"/>
      </w:pPr>
      <w:rPr>
        <w:rFonts w:ascii="Courier New" w:hAnsi="Courier New" w:hint="default"/>
      </w:rPr>
    </w:lvl>
    <w:lvl w:ilvl="8" w:tplc="43E044F6">
      <w:start w:val="1"/>
      <w:numFmt w:val="bullet"/>
      <w:lvlText w:val=""/>
      <w:lvlJc w:val="left"/>
      <w:pPr>
        <w:ind w:left="6480" w:hanging="360"/>
      </w:pPr>
      <w:rPr>
        <w:rFonts w:ascii="Wingdings" w:hAnsi="Wingdings" w:hint="default"/>
      </w:rPr>
    </w:lvl>
  </w:abstractNum>
  <w:abstractNum w:abstractNumId="18" w15:restartNumberingAfterBreak="0">
    <w:nsid w:val="65A2530B"/>
    <w:multiLevelType w:val="hybridMultilevel"/>
    <w:tmpl w:val="45507E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7AC7E4B"/>
    <w:multiLevelType w:val="hybridMultilevel"/>
    <w:tmpl w:val="C910FEDA"/>
    <w:lvl w:ilvl="0" w:tplc="FFFFFFFF">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DED7812"/>
    <w:multiLevelType w:val="hybridMultilevel"/>
    <w:tmpl w:val="933A9A92"/>
    <w:lvl w:ilvl="0" w:tplc="42FC0AEC">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1836BF3"/>
    <w:multiLevelType w:val="hybridMultilevel"/>
    <w:tmpl w:val="2BBAC5AE"/>
    <w:lvl w:ilvl="0" w:tplc="3B9C1D58">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731A7F"/>
    <w:multiLevelType w:val="hybridMultilevel"/>
    <w:tmpl w:val="235871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EFB3B33"/>
    <w:multiLevelType w:val="hybridMultilevel"/>
    <w:tmpl w:val="8132C676"/>
    <w:lvl w:ilvl="0" w:tplc="FFFFFFFF">
      <w:start w:val="1"/>
      <w:numFmt w:val="bullet"/>
      <w:lvlText w:val="-"/>
      <w:lvlJc w:val="left"/>
      <w:pPr>
        <w:ind w:left="1134" w:hanging="360"/>
      </w:pPr>
      <w:rPr>
        <w:rFonts w:ascii="Calibri" w:hAnsi="Calibri"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4" w15:restartNumberingAfterBreak="0">
    <w:nsid w:val="7F2515F3"/>
    <w:multiLevelType w:val="hybridMultilevel"/>
    <w:tmpl w:val="9FBEB2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4"/>
  </w:num>
  <w:num w:numId="4">
    <w:abstractNumId w:val="8"/>
  </w:num>
  <w:num w:numId="5">
    <w:abstractNumId w:val="13"/>
  </w:num>
  <w:num w:numId="6">
    <w:abstractNumId w:val="19"/>
  </w:num>
  <w:num w:numId="7">
    <w:abstractNumId w:val="23"/>
  </w:num>
  <w:num w:numId="8">
    <w:abstractNumId w:val="5"/>
  </w:num>
  <w:num w:numId="9">
    <w:abstractNumId w:val="20"/>
  </w:num>
  <w:num w:numId="10">
    <w:abstractNumId w:val="21"/>
  </w:num>
  <w:num w:numId="11">
    <w:abstractNumId w:val="16"/>
  </w:num>
  <w:num w:numId="12">
    <w:abstractNumId w:val="7"/>
  </w:num>
  <w:num w:numId="13">
    <w:abstractNumId w:val="1"/>
  </w:num>
  <w:num w:numId="14">
    <w:abstractNumId w:val="0"/>
  </w:num>
  <w:num w:numId="15">
    <w:abstractNumId w:val="3"/>
  </w:num>
  <w:num w:numId="16">
    <w:abstractNumId w:val="14"/>
  </w:num>
  <w:num w:numId="17">
    <w:abstractNumId w:val="24"/>
  </w:num>
  <w:num w:numId="18">
    <w:abstractNumId w:val="10"/>
  </w:num>
  <w:num w:numId="19">
    <w:abstractNumId w:val="2"/>
  </w:num>
  <w:num w:numId="20">
    <w:abstractNumId w:val="22"/>
  </w:num>
  <w:num w:numId="21">
    <w:abstractNumId w:val="18"/>
  </w:num>
  <w:num w:numId="22">
    <w:abstractNumId w:val="9"/>
  </w:num>
  <w:num w:numId="23">
    <w:abstractNumId w:val="15"/>
  </w:num>
  <w:num w:numId="24">
    <w:abstractNumId w:val="1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67"/>
    <w:rsid w:val="00005E13"/>
    <w:rsid w:val="00016CD1"/>
    <w:rsid w:val="000172EB"/>
    <w:rsid w:val="00027D93"/>
    <w:rsid w:val="00031B0C"/>
    <w:rsid w:val="00065A25"/>
    <w:rsid w:val="00067939"/>
    <w:rsid w:val="00087DB0"/>
    <w:rsid w:val="00090C8A"/>
    <w:rsid w:val="000B36B1"/>
    <w:rsid w:val="000D0B91"/>
    <w:rsid w:val="000D1871"/>
    <w:rsid w:val="000D3268"/>
    <w:rsid w:val="000F1837"/>
    <w:rsid w:val="000F2927"/>
    <w:rsid w:val="000F698D"/>
    <w:rsid w:val="00106556"/>
    <w:rsid w:val="00116A1A"/>
    <w:rsid w:val="00124AF9"/>
    <w:rsid w:val="00140568"/>
    <w:rsid w:val="00150D0F"/>
    <w:rsid w:val="00174B1C"/>
    <w:rsid w:val="0017734E"/>
    <w:rsid w:val="00180523"/>
    <w:rsid w:val="00187C7C"/>
    <w:rsid w:val="00187C90"/>
    <w:rsid w:val="001A687A"/>
    <w:rsid w:val="001B28F2"/>
    <w:rsid w:val="001E30CB"/>
    <w:rsid w:val="00210278"/>
    <w:rsid w:val="00222239"/>
    <w:rsid w:val="00223B95"/>
    <w:rsid w:val="002322E1"/>
    <w:rsid w:val="00263042"/>
    <w:rsid w:val="0028326F"/>
    <w:rsid w:val="00297C51"/>
    <w:rsid w:val="002B5A6D"/>
    <w:rsid w:val="002C3A45"/>
    <w:rsid w:val="002E3126"/>
    <w:rsid w:val="002E6884"/>
    <w:rsid w:val="002F07AC"/>
    <w:rsid w:val="00312D61"/>
    <w:rsid w:val="00321BE4"/>
    <w:rsid w:val="00322EDB"/>
    <w:rsid w:val="00335BD1"/>
    <w:rsid w:val="0035639B"/>
    <w:rsid w:val="00367BE6"/>
    <w:rsid w:val="0038278E"/>
    <w:rsid w:val="00387701"/>
    <w:rsid w:val="00392986"/>
    <w:rsid w:val="003A153F"/>
    <w:rsid w:val="003B7E6D"/>
    <w:rsid w:val="003C5893"/>
    <w:rsid w:val="003D16BE"/>
    <w:rsid w:val="003F3FD5"/>
    <w:rsid w:val="003F772D"/>
    <w:rsid w:val="00411802"/>
    <w:rsid w:val="00421638"/>
    <w:rsid w:val="00444225"/>
    <w:rsid w:val="00446009"/>
    <w:rsid w:val="00475C41"/>
    <w:rsid w:val="004771C5"/>
    <w:rsid w:val="00487A15"/>
    <w:rsid w:val="004932B3"/>
    <w:rsid w:val="004B11BE"/>
    <w:rsid w:val="004B2867"/>
    <w:rsid w:val="004E714A"/>
    <w:rsid w:val="00501BD0"/>
    <w:rsid w:val="00502AAE"/>
    <w:rsid w:val="005037FD"/>
    <w:rsid w:val="00526513"/>
    <w:rsid w:val="00537C88"/>
    <w:rsid w:val="00544760"/>
    <w:rsid w:val="00561D9F"/>
    <w:rsid w:val="00564359"/>
    <w:rsid w:val="00566E64"/>
    <w:rsid w:val="005719E3"/>
    <w:rsid w:val="00572ECF"/>
    <w:rsid w:val="00575AB8"/>
    <w:rsid w:val="005E0302"/>
    <w:rsid w:val="005E3AFA"/>
    <w:rsid w:val="005E4A5F"/>
    <w:rsid w:val="005F2A0F"/>
    <w:rsid w:val="00617087"/>
    <w:rsid w:val="00624C58"/>
    <w:rsid w:val="00635527"/>
    <w:rsid w:val="0064051A"/>
    <w:rsid w:val="0064117D"/>
    <w:rsid w:val="00642C12"/>
    <w:rsid w:val="00644AB4"/>
    <w:rsid w:val="006466DE"/>
    <w:rsid w:val="00670FC2"/>
    <w:rsid w:val="0067551D"/>
    <w:rsid w:val="006854B4"/>
    <w:rsid w:val="00690AEB"/>
    <w:rsid w:val="006C07A9"/>
    <w:rsid w:val="006C1B5C"/>
    <w:rsid w:val="006D0CC3"/>
    <w:rsid w:val="006D0DB6"/>
    <w:rsid w:val="006E0EA6"/>
    <w:rsid w:val="006E4354"/>
    <w:rsid w:val="006F3093"/>
    <w:rsid w:val="00706343"/>
    <w:rsid w:val="007112B4"/>
    <w:rsid w:val="00714833"/>
    <w:rsid w:val="00721092"/>
    <w:rsid w:val="00726E70"/>
    <w:rsid w:val="00731485"/>
    <w:rsid w:val="00743AEF"/>
    <w:rsid w:val="00746F51"/>
    <w:rsid w:val="0075107E"/>
    <w:rsid w:val="007556FA"/>
    <w:rsid w:val="0076569A"/>
    <w:rsid w:val="00776ACE"/>
    <w:rsid w:val="007875BB"/>
    <w:rsid w:val="00790991"/>
    <w:rsid w:val="007A2C58"/>
    <w:rsid w:val="007A4872"/>
    <w:rsid w:val="007B4BB3"/>
    <w:rsid w:val="007B4DF0"/>
    <w:rsid w:val="007B6078"/>
    <w:rsid w:val="007D2284"/>
    <w:rsid w:val="007D5897"/>
    <w:rsid w:val="007E3B76"/>
    <w:rsid w:val="007F0216"/>
    <w:rsid w:val="007F4E50"/>
    <w:rsid w:val="007F5BE6"/>
    <w:rsid w:val="00821D41"/>
    <w:rsid w:val="00825CB1"/>
    <w:rsid w:val="00857D87"/>
    <w:rsid w:val="008631C3"/>
    <w:rsid w:val="00884404"/>
    <w:rsid w:val="0089499C"/>
    <w:rsid w:val="008C6701"/>
    <w:rsid w:val="008C69C3"/>
    <w:rsid w:val="008F10E6"/>
    <w:rsid w:val="008F7A23"/>
    <w:rsid w:val="00933583"/>
    <w:rsid w:val="009366F6"/>
    <w:rsid w:val="009502D6"/>
    <w:rsid w:val="009543B7"/>
    <w:rsid w:val="009606D9"/>
    <w:rsid w:val="00962424"/>
    <w:rsid w:val="00972613"/>
    <w:rsid w:val="00984DAB"/>
    <w:rsid w:val="0099392E"/>
    <w:rsid w:val="009C0DCB"/>
    <w:rsid w:val="009C597A"/>
    <w:rsid w:val="009F0369"/>
    <w:rsid w:val="00A121DD"/>
    <w:rsid w:val="00A26A37"/>
    <w:rsid w:val="00A319B7"/>
    <w:rsid w:val="00A511B7"/>
    <w:rsid w:val="00A8124C"/>
    <w:rsid w:val="00AB33CA"/>
    <w:rsid w:val="00AD145C"/>
    <w:rsid w:val="00AE2F85"/>
    <w:rsid w:val="00AE7979"/>
    <w:rsid w:val="00AF0094"/>
    <w:rsid w:val="00AF470A"/>
    <w:rsid w:val="00B01123"/>
    <w:rsid w:val="00B12551"/>
    <w:rsid w:val="00B13046"/>
    <w:rsid w:val="00B4041C"/>
    <w:rsid w:val="00B529A6"/>
    <w:rsid w:val="00B547F7"/>
    <w:rsid w:val="00B64951"/>
    <w:rsid w:val="00BA5879"/>
    <w:rsid w:val="00BB4588"/>
    <w:rsid w:val="00BC5A3A"/>
    <w:rsid w:val="00BD1E36"/>
    <w:rsid w:val="00C00A0D"/>
    <w:rsid w:val="00C01F6C"/>
    <w:rsid w:val="00C02E1C"/>
    <w:rsid w:val="00C07EBB"/>
    <w:rsid w:val="00C552AF"/>
    <w:rsid w:val="00C63EC8"/>
    <w:rsid w:val="00C709F0"/>
    <w:rsid w:val="00C9286A"/>
    <w:rsid w:val="00CB3977"/>
    <w:rsid w:val="00CC3CC7"/>
    <w:rsid w:val="00CD7DD7"/>
    <w:rsid w:val="00CE74BF"/>
    <w:rsid w:val="00D0186D"/>
    <w:rsid w:val="00D02306"/>
    <w:rsid w:val="00D32083"/>
    <w:rsid w:val="00D378F1"/>
    <w:rsid w:val="00D4273A"/>
    <w:rsid w:val="00D526EF"/>
    <w:rsid w:val="00D60C45"/>
    <w:rsid w:val="00D64AD1"/>
    <w:rsid w:val="00D659C7"/>
    <w:rsid w:val="00D7244A"/>
    <w:rsid w:val="00D75838"/>
    <w:rsid w:val="00D93A37"/>
    <w:rsid w:val="00DA1E32"/>
    <w:rsid w:val="00DF3521"/>
    <w:rsid w:val="00E00697"/>
    <w:rsid w:val="00E01867"/>
    <w:rsid w:val="00E308AC"/>
    <w:rsid w:val="00E326D5"/>
    <w:rsid w:val="00E33BA0"/>
    <w:rsid w:val="00E7749C"/>
    <w:rsid w:val="00E84F29"/>
    <w:rsid w:val="00E8780B"/>
    <w:rsid w:val="00E90E53"/>
    <w:rsid w:val="00EC5952"/>
    <w:rsid w:val="00F72CCE"/>
    <w:rsid w:val="00F75A50"/>
    <w:rsid w:val="00F76F3B"/>
    <w:rsid w:val="00F77A9B"/>
    <w:rsid w:val="00F83AFC"/>
    <w:rsid w:val="00F9306F"/>
    <w:rsid w:val="00F96A58"/>
    <w:rsid w:val="00FB4945"/>
    <w:rsid w:val="00FD314A"/>
    <w:rsid w:val="00FD3693"/>
    <w:rsid w:val="00FD67DE"/>
    <w:rsid w:val="00FE10F5"/>
    <w:rsid w:val="00FE3599"/>
    <w:rsid w:val="00FE7742"/>
    <w:rsid w:val="069BADFA"/>
    <w:rsid w:val="20B4A7CF"/>
    <w:rsid w:val="2781F6A0"/>
    <w:rsid w:val="28BEF9BF"/>
    <w:rsid w:val="2E36C79B"/>
    <w:rsid w:val="49622DF2"/>
    <w:rsid w:val="4AFDFE53"/>
    <w:rsid w:val="56A0AE3C"/>
    <w:rsid w:val="59F03A7A"/>
    <w:rsid w:val="5D4257E4"/>
    <w:rsid w:val="60A4E1DC"/>
    <w:rsid w:val="6241D728"/>
    <w:rsid w:val="658B895C"/>
    <w:rsid w:val="675879EA"/>
    <w:rsid w:val="6C267E28"/>
    <w:rsid w:val="6D8FF8D5"/>
    <w:rsid w:val="7A87216C"/>
    <w:rsid w:val="7CFAAFD6"/>
    <w:rsid w:val="7E4FD349"/>
    <w:rsid w:val="7E94D3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F3092B7"/>
  <w15:chartTrackingRefBased/>
  <w15:docId w15:val="{194080CE-7679-48A7-936E-D0C02476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98D"/>
  </w:style>
  <w:style w:type="paragraph" w:styleId="Titre1">
    <w:name w:val="heading 1"/>
    <w:basedOn w:val="Normal"/>
    <w:next w:val="Normal"/>
    <w:link w:val="Titre1Car"/>
    <w:uiPriority w:val="9"/>
    <w:qFormat/>
    <w:rsid w:val="0038278E"/>
    <w:pPr>
      <w:spacing w:before="360" w:after="120"/>
      <w:ind w:left="357" w:hanging="357"/>
      <w:outlineLvl w:val="0"/>
    </w:pPr>
    <w:rPr>
      <w:b/>
      <w:bCs/>
      <w:color w:val="C00000"/>
      <w:sz w:val="24"/>
      <w:szCs w:val="28"/>
    </w:rPr>
  </w:style>
  <w:style w:type="paragraph" w:styleId="Titre2">
    <w:name w:val="heading 2"/>
    <w:basedOn w:val="Normal"/>
    <w:next w:val="Normal"/>
    <w:link w:val="Titre2Car"/>
    <w:uiPriority w:val="9"/>
    <w:unhideWhenUsed/>
    <w:qFormat/>
    <w:rsid w:val="00CC3CC7"/>
    <w:pPr>
      <w:keepNext/>
      <w:spacing w:before="240" w:after="120"/>
      <w:contextualSpacing/>
      <w:jc w:val="both"/>
      <w:outlineLvl w:val="1"/>
    </w:pPr>
    <w:rPr>
      <w:b/>
      <w:bCs/>
      <w:color w:val="787878" w:themeColor="text1"/>
      <w:szCs w:val="24"/>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8278E"/>
    <w:rPr>
      <w:b/>
      <w:bCs/>
      <w:color w:val="C00000"/>
      <w:sz w:val="24"/>
      <w:szCs w:val="28"/>
    </w:rPr>
  </w:style>
  <w:style w:type="character" w:customStyle="1" w:styleId="Titre2Car">
    <w:name w:val="Titre 2 Car"/>
    <w:basedOn w:val="Policepardfaut"/>
    <w:link w:val="Titre2"/>
    <w:uiPriority w:val="9"/>
    <w:rsid w:val="00CC3CC7"/>
    <w:rPr>
      <w:b/>
      <w:bCs/>
      <w:color w:val="787878" w:themeColor="text1"/>
      <w:szCs w:val="24"/>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E018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1867"/>
    <w:rPr>
      <w:rFonts w:ascii="Segoe UI" w:hAnsi="Segoe UI" w:cs="Segoe UI"/>
      <w:sz w:val="18"/>
      <w:szCs w:val="18"/>
    </w:rPr>
  </w:style>
  <w:style w:type="character" w:styleId="Lienhypertexte">
    <w:name w:val="Hyperlink"/>
    <w:basedOn w:val="Policepardfaut"/>
    <w:uiPriority w:val="99"/>
    <w:unhideWhenUsed/>
    <w:rsid w:val="00E01867"/>
    <w:rPr>
      <w:color w:val="79AFDA" w:themeColor="hyperlink"/>
      <w:u w:val="single"/>
    </w:rPr>
  </w:style>
  <w:style w:type="character" w:styleId="Marquedecommentaire">
    <w:name w:val="annotation reference"/>
    <w:basedOn w:val="Policepardfaut"/>
    <w:uiPriority w:val="99"/>
    <w:semiHidden/>
    <w:unhideWhenUsed/>
    <w:rsid w:val="00E01867"/>
    <w:rPr>
      <w:sz w:val="16"/>
      <w:szCs w:val="16"/>
    </w:rPr>
  </w:style>
  <w:style w:type="paragraph" w:styleId="Commentaire">
    <w:name w:val="annotation text"/>
    <w:basedOn w:val="Normal"/>
    <w:link w:val="CommentaireCar"/>
    <w:uiPriority w:val="99"/>
    <w:unhideWhenUsed/>
    <w:rsid w:val="00E01867"/>
    <w:pPr>
      <w:spacing w:line="240" w:lineRule="auto"/>
    </w:pPr>
    <w:rPr>
      <w:sz w:val="20"/>
      <w:szCs w:val="20"/>
    </w:rPr>
  </w:style>
  <w:style w:type="character" w:customStyle="1" w:styleId="CommentaireCar">
    <w:name w:val="Commentaire Car"/>
    <w:basedOn w:val="Policepardfaut"/>
    <w:link w:val="Commentaire"/>
    <w:uiPriority w:val="99"/>
    <w:rsid w:val="00E01867"/>
    <w:rPr>
      <w:sz w:val="20"/>
      <w:szCs w:val="20"/>
    </w:rPr>
  </w:style>
  <w:style w:type="character" w:styleId="Appelnotedebasdep">
    <w:name w:val="footnote reference"/>
    <w:basedOn w:val="Policepardfaut"/>
    <w:uiPriority w:val="99"/>
    <w:semiHidden/>
    <w:unhideWhenUsed/>
    <w:rsid w:val="00E01867"/>
    <w:rPr>
      <w:vertAlign w:val="superscript"/>
    </w:rPr>
  </w:style>
  <w:style w:type="character" w:customStyle="1" w:styleId="NotedebasdepageCar">
    <w:name w:val="Note de bas de page Car"/>
    <w:basedOn w:val="Policepardfaut"/>
    <w:link w:val="Notedebasdepage"/>
    <w:uiPriority w:val="99"/>
    <w:semiHidden/>
    <w:rsid w:val="00E01867"/>
    <w:rPr>
      <w:sz w:val="20"/>
      <w:szCs w:val="20"/>
    </w:rPr>
  </w:style>
  <w:style w:type="paragraph" w:styleId="Notedebasdepage">
    <w:name w:val="footnote text"/>
    <w:basedOn w:val="Normal"/>
    <w:link w:val="NotedebasdepageCar"/>
    <w:uiPriority w:val="99"/>
    <w:semiHidden/>
    <w:unhideWhenUsed/>
    <w:rsid w:val="00E01867"/>
    <w:pPr>
      <w:spacing w:after="0" w:line="240" w:lineRule="auto"/>
    </w:pPr>
    <w:rPr>
      <w:sz w:val="20"/>
      <w:szCs w:val="20"/>
    </w:rPr>
  </w:style>
  <w:style w:type="character" w:customStyle="1" w:styleId="NotedebasdepageCar1">
    <w:name w:val="Note de bas de page Car1"/>
    <w:basedOn w:val="Policepardfaut"/>
    <w:uiPriority w:val="99"/>
    <w:semiHidden/>
    <w:rsid w:val="00E01867"/>
    <w:rPr>
      <w:sz w:val="20"/>
      <w:szCs w:val="20"/>
    </w:rPr>
  </w:style>
  <w:style w:type="table" w:styleId="Grilledutableau">
    <w:name w:val="Table Grid"/>
    <w:basedOn w:val="TableauNormal"/>
    <w:uiPriority w:val="39"/>
    <w:rsid w:val="00E01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93A37"/>
    <w:pPr>
      <w:tabs>
        <w:tab w:val="center" w:pos="4536"/>
        <w:tab w:val="right" w:pos="9072"/>
      </w:tabs>
      <w:spacing w:after="0" w:line="240" w:lineRule="auto"/>
    </w:pPr>
  </w:style>
  <w:style w:type="character" w:customStyle="1" w:styleId="En-tteCar">
    <w:name w:val="En-tête Car"/>
    <w:basedOn w:val="Policepardfaut"/>
    <w:link w:val="En-tte"/>
    <w:uiPriority w:val="99"/>
    <w:rsid w:val="00D93A37"/>
  </w:style>
  <w:style w:type="paragraph" w:styleId="Pieddepage">
    <w:name w:val="footer"/>
    <w:basedOn w:val="Normal"/>
    <w:link w:val="PieddepageCar"/>
    <w:uiPriority w:val="99"/>
    <w:unhideWhenUsed/>
    <w:rsid w:val="00D93A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3A37"/>
  </w:style>
  <w:style w:type="character" w:styleId="Mentionnonrsolue">
    <w:name w:val="Unresolved Mention"/>
    <w:basedOn w:val="Policepardfaut"/>
    <w:uiPriority w:val="99"/>
    <w:semiHidden/>
    <w:unhideWhenUsed/>
    <w:rsid w:val="00776ACE"/>
    <w:rPr>
      <w:color w:val="605E5C"/>
      <w:shd w:val="clear" w:color="auto" w:fill="E1DFDD"/>
    </w:rPr>
  </w:style>
  <w:style w:type="character" w:styleId="Lienhypertextesuivivisit">
    <w:name w:val="FollowedHyperlink"/>
    <w:basedOn w:val="Policepardfaut"/>
    <w:uiPriority w:val="99"/>
    <w:semiHidden/>
    <w:unhideWhenUsed/>
    <w:rsid w:val="00D64AD1"/>
    <w:rPr>
      <w:color w:val="457E8F" w:themeColor="followedHyperlink"/>
      <w:u w:val="single"/>
    </w:rPr>
  </w:style>
  <w:style w:type="paragraph" w:styleId="Paragraphedeliste">
    <w:name w:val="List Paragraph"/>
    <w:basedOn w:val="Normal"/>
    <w:link w:val="ParagraphedelisteCar"/>
    <w:uiPriority w:val="34"/>
    <w:qFormat/>
    <w:rsid w:val="00AF470A"/>
    <w:pPr>
      <w:spacing w:after="0" w:line="240" w:lineRule="auto"/>
      <w:ind w:left="720"/>
      <w:contextualSpacing/>
    </w:pPr>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E84F29"/>
    <w:rPr>
      <w:b/>
      <w:bCs/>
    </w:rPr>
  </w:style>
  <w:style w:type="character" w:customStyle="1" w:styleId="ObjetducommentaireCar">
    <w:name w:val="Objet du commentaire Car"/>
    <w:basedOn w:val="CommentaireCar"/>
    <w:link w:val="Objetducommentaire"/>
    <w:uiPriority w:val="99"/>
    <w:semiHidden/>
    <w:rsid w:val="00E84F29"/>
    <w:rPr>
      <w:b/>
      <w:bCs/>
      <w:sz w:val="20"/>
      <w:szCs w:val="20"/>
    </w:rPr>
  </w:style>
  <w:style w:type="character" w:customStyle="1" w:styleId="ParagraphedelisteCar">
    <w:name w:val="Paragraphe de liste Car"/>
    <w:basedOn w:val="Policepardfaut"/>
    <w:link w:val="Paragraphedeliste"/>
    <w:uiPriority w:val="34"/>
    <w:rsid w:val="00D02306"/>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10997">
      <w:bodyDiv w:val="1"/>
      <w:marLeft w:val="0"/>
      <w:marRight w:val="0"/>
      <w:marTop w:val="0"/>
      <w:marBottom w:val="0"/>
      <w:divBdr>
        <w:top w:val="none" w:sz="0" w:space="0" w:color="auto"/>
        <w:left w:val="none" w:sz="0" w:space="0" w:color="auto"/>
        <w:bottom w:val="none" w:sz="0" w:space="0" w:color="auto"/>
        <w:right w:val="none" w:sz="0" w:space="0" w:color="auto"/>
      </w:divBdr>
    </w:div>
    <w:div w:id="746028686">
      <w:bodyDiv w:val="1"/>
      <w:marLeft w:val="0"/>
      <w:marRight w:val="0"/>
      <w:marTop w:val="0"/>
      <w:marBottom w:val="0"/>
      <w:divBdr>
        <w:top w:val="none" w:sz="0" w:space="0" w:color="auto"/>
        <w:left w:val="none" w:sz="0" w:space="0" w:color="auto"/>
        <w:bottom w:val="none" w:sz="0" w:space="0" w:color="auto"/>
        <w:right w:val="none" w:sz="0" w:space="0" w:color="auto"/>
      </w:divBdr>
      <w:divsChild>
        <w:div w:id="1270308687">
          <w:marLeft w:val="547"/>
          <w:marRight w:val="0"/>
          <w:marTop w:val="0"/>
          <w:marBottom w:val="0"/>
          <w:divBdr>
            <w:top w:val="none" w:sz="0" w:space="0" w:color="auto"/>
            <w:left w:val="none" w:sz="0" w:space="0" w:color="auto"/>
            <w:bottom w:val="none" w:sz="0" w:space="0" w:color="auto"/>
            <w:right w:val="none" w:sz="0" w:space="0" w:color="auto"/>
          </w:divBdr>
        </w:div>
        <w:div w:id="20536465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solidarites-sante.gouv.fr/IMG/pdf/rniv_3_identitovigilance_structures_non_hospitalieres_v1.2_dgos.pdf" TargetMode="External"/><Relationship Id="rId7" Type="http://schemas.openxmlformats.org/officeDocument/2006/relationships/hyperlink" Target="https://www.has-sante.fr/jcms/c_2838131/fr/l-evaluation-des-etablissements-et-services-sociaux-et-medico-sociaux-essms" TargetMode="External"/><Relationship Id="rId2" Type="http://schemas.openxmlformats.org/officeDocument/2006/relationships/hyperlink" Target="https://solidarites-sante.gouv.fr/IMG/pdf/rniv_1_principes_communs_v1.2_dgos.pdf" TargetMode="External"/><Relationship Id="rId1" Type="http://schemas.openxmlformats.org/officeDocument/2006/relationships/hyperlink" Target="https://ressources.anap.fr/numerique/publication/2604" TargetMode="External"/><Relationship Id="rId6" Type="http://schemas.openxmlformats.org/officeDocument/2006/relationships/hyperlink" Target="https://www.identito-na.fr/donnee-de-sante" TargetMode="External"/><Relationship Id="rId5" Type="http://schemas.openxmlformats.org/officeDocument/2006/relationships/hyperlink" Target="https://www.legifrance.gouv.fr/jorf/id/JORFTEXT000043618501" TargetMode="External"/><Relationship Id="rId4" Type="http://schemas.openxmlformats.org/officeDocument/2006/relationships/hyperlink" Target="https://www.legifrance.gouv.fr/loda/id/JORFTEXT00003919641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FFC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CC6BE8-07BD-4F0F-AF49-88835E7C2B90}"/>
</file>

<file path=customXml/itemProps2.xml><?xml version="1.0" encoding="utf-8"?>
<ds:datastoreItem xmlns:ds="http://schemas.openxmlformats.org/officeDocument/2006/customXml" ds:itemID="{CB3AB77E-8C65-4A15-9ED7-564CBF95C36D}">
  <ds:schemaRefs>
    <ds:schemaRef ds:uri="http://schemas.openxmlformats.org/officeDocument/2006/bibliography"/>
  </ds:schemaRefs>
</ds:datastoreItem>
</file>

<file path=customXml/itemProps3.xml><?xml version="1.0" encoding="utf-8"?>
<ds:datastoreItem xmlns:ds="http://schemas.openxmlformats.org/officeDocument/2006/customXml" ds:itemID="{A8180B92-2248-4288-ADAD-AEC329878CF2}">
  <ds:schemaRefs>
    <ds:schemaRef ds:uri="http://schemas.microsoft.com/office/2006/metadata/properties"/>
    <ds:schemaRef ds:uri="http://schemas.microsoft.com/office/infopath/2007/PartnerControls"/>
    <ds:schemaRef ds:uri="fa6a7fe8-dc04-4cad-9394-a7eac0971266"/>
  </ds:schemaRefs>
</ds:datastoreItem>
</file>

<file path=customXml/itemProps4.xml><?xml version="1.0" encoding="utf-8"?>
<ds:datastoreItem xmlns:ds="http://schemas.openxmlformats.org/officeDocument/2006/customXml" ds:itemID="{A02725C7-1201-4C81-914E-353DA8512A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1880</Words>
  <Characters>10346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12202</CharactersWithSpaces>
  <SharedDoc>false</SharedDoc>
  <HLinks>
    <vt:vector size="42" baseType="variant">
      <vt:variant>
        <vt:i4>5111852</vt:i4>
      </vt:variant>
      <vt:variant>
        <vt:i4>18</vt:i4>
      </vt:variant>
      <vt:variant>
        <vt:i4>0</vt:i4>
      </vt:variant>
      <vt:variant>
        <vt:i4>5</vt:i4>
      </vt:variant>
      <vt:variant>
        <vt:lpwstr>https://www.has-sante.fr/jcms/c_2838131/fr/l-evaluation-des-etablissements-et-services-sociaux-et-medico-sociaux-essms</vt:lpwstr>
      </vt:variant>
      <vt:variant>
        <vt:lpwstr/>
      </vt:variant>
      <vt:variant>
        <vt:i4>2687089</vt:i4>
      </vt:variant>
      <vt:variant>
        <vt:i4>15</vt:i4>
      </vt:variant>
      <vt:variant>
        <vt:i4>0</vt:i4>
      </vt:variant>
      <vt:variant>
        <vt:i4>5</vt:i4>
      </vt:variant>
      <vt:variant>
        <vt:lpwstr>https://www.identito-na.fr/donnee-de-sante</vt:lpwstr>
      </vt:variant>
      <vt:variant>
        <vt:lpwstr/>
      </vt:variant>
      <vt:variant>
        <vt:i4>4063281</vt:i4>
      </vt:variant>
      <vt:variant>
        <vt:i4>12</vt:i4>
      </vt:variant>
      <vt:variant>
        <vt:i4>0</vt:i4>
      </vt:variant>
      <vt:variant>
        <vt:i4>5</vt:i4>
      </vt:variant>
      <vt:variant>
        <vt:lpwstr>https://www.legifrance.gouv.fr/jorf/id/JORFTEXT000043618501</vt:lpwstr>
      </vt:variant>
      <vt:variant>
        <vt:lpwstr/>
      </vt:variant>
      <vt:variant>
        <vt:i4>262174</vt:i4>
      </vt:variant>
      <vt:variant>
        <vt:i4>9</vt:i4>
      </vt:variant>
      <vt:variant>
        <vt:i4>0</vt:i4>
      </vt:variant>
      <vt:variant>
        <vt:i4>5</vt:i4>
      </vt:variant>
      <vt:variant>
        <vt:lpwstr>https://www.legifrance.gouv.fr/loda/id/JORFTEXT000039196419/</vt:lpwstr>
      </vt:variant>
      <vt:variant>
        <vt:lpwstr>:~:text=Dans%20les%20r%C3%A9sum%C3%A9s-,D%C3%A9cret%20n%C2%B0%202019%2D1036%20du%208%20octobre%202019%20modifiant,code%20de%20la%20sant%C3%A9%20publique</vt:lpwstr>
      </vt:variant>
      <vt:variant>
        <vt:i4>6488134</vt:i4>
      </vt:variant>
      <vt:variant>
        <vt:i4>6</vt:i4>
      </vt:variant>
      <vt:variant>
        <vt:i4>0</vt:i4>
      </vt:variant>
      <vt:variant>
        <vt:i4>5</vt:i4>
      </vt:variant>
      <vt:variant>
        <vt:lpwstr>https://solidarites-sante.gouv.fr/IMG/pdf/rniv_3_identitovigilance_structures_non_hospitalieres_v1.2_dgos.pdf</vt:lpwstr>
      </vt:variant>
      <vt:variant>
        <vt:lpwstr/>
      </vt:variant>
      <vt:variant>
        <vt:i4>6815813</vt:i4>
      </vt:variant>
      <vt:variant>
        <vt:i4>3</vt:i4>
      </vt:variant>
      <vt:variant>
        <vt:i4>0</vt:i4>
      </vt:variant>
      <vt:variant>
        <vt:i4>5</vt:i4>
      </vt:variant>
      <vt:variant>
        <vt:lpwstr>https://solidarites-sante.gouv.fr/IMG/pdf/rniv_1_principes_communs_v1.2_dgos.pdf</vt:lpwstr>
      </vt:variant>
      <vt:variant>
        <vt:lpwstr/>
      </vt:variant>
      <vt:variant>
        <vt:i4>4456475</vt:i4>
      </vt:variant>
      <vt:variant>
        <vt:i4>0</vt:i4>
      </vt:variant>
      <vt:variant>
        <vt:i4>0</vt:i4>
      </vt:variant>
      <vt:variant>
        <vt:i4>5</vt:i4>
      </vt:variant>
      <vt:variant>
        <vt:lpwstr>https://ressources.anap.fr/numerique/publication/2604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11</cp:revision>
  <dcterms:created xsi:type="dcterms:W3CDTF">2021-12-07T10:51:00Z</dcterms:created>
  <dcterms:modified xsi:type="dcterms:W3CDTF">2021-12-07T11:22:00Z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2021-12-03T08:01:02Z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edd687c8-ae57-4fbd-807d-e91346f62b52</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